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E7909" w:rsidRDefault="002E7909" w:rsidP="002E7909">
      <w:pPr>
        <w:widowControl w:val="0"/>
        <w:autoSpaceDE w:val="0"/>
        <w:autoSpaceDN w:val="0"/>
        <w:adjustRightInd w:val="0"/>
        <w:ind w:right="114"/>
        <w:jc w:val="both"/>
        <w:rPr>
          <w:rFonts w:ascii="Adobe Caslon Pro" w:hAnsi="Adobe Caslon Pro" w:cs="Adobe Caslon Pro"/>
          <w:b/>
          <w:i/>
          <w:iCs/>
          <w:sz w:val="32"/>
          <w:szCs w:val="28"/>
          <w:lang w:val="en-US"/>
        </w:rPr>
      </w:pPr>
    </w:p>
    <w:p w:rsidR="002E7909" w:rsidRPr="002E7909" w:rsidRDefault="002E7909" w:rsidP="002E7909">
      <w:pPr>
        <w:widowControl w:val="0"/>
        <w:autoSpaceDE w:val="0"/>
        <w:autoSpaceDN w:val="0"/>
        <w:adjustRightInd w:val="0"/>
        <w:ind w:right="114"/>
        <w:jc w:val="both"/>
        <w:rPr>
          <w:rFonts w:ascii="Adobe Caslon Pro" w:hAnsi="Adobe Caslon Pro" w:cs="Adobe Caslon Pro"/>
          <w:b/>
          <w:i/>
          <w:iCs/>
          <w:sz w:val="32"/>
          <w:szCs w:val="28"/>
          <w:lang w:val="en-US"/>
        </w:rPr>
      </w:pPr>
      <w:r>
        <w:rPr>
          <w:rFonts w:ascii="Adobe Caslon Pro" w:hAnsi="Adobe Caslon Pro" w:cs="Adobe Caslon Pro"/>
          <w:b/>
          <w:i/>
          <w:iCs/>
          <w:sz w:val="32"/>
          <w:szCs w:val="28"/>
          <w:lang w:val="en-US"/>
        </w:rPr>
        <w:tab/>
      </w:r>
      <w:r w:rsidRPr="002E7909">
        <w:rPr>
          <w:rFonts w:ascii="Adobe Caslon Pro" w:hAnsi="Adobe Caslon Pro" w:cs="Adobe Caslon Pro"/>
          <w:b/>
          <w:i/>
          <w:iCs/>
          <w:sz w:val="32"/>
          <w:szCs w:val="28"/>
          <w:lang w:val="en-US"/>
        </w:rPr>
        <w:t xml:space="preserve">De la surabondance des gestes </w:t>
      </w:r>
    </w:p>
    <w:p w:rsidR="002E7909" w:rsidRPr="002E7909" w:rsidRDefault="002E7909" w:rsidP="002E7909">
      <w:pPr>
        <w:widowControl w:val="0"/>
        <w:autoSpaceDE w:val="0"/>
        <w:autoSpaceDN w:val="0"/>
        <w:adjustRightInd w:val="0"/>
        <w:ind w:right="114"/>
        <w:jc w:val="both"/>
        <w:rPr>
          <w:rFonts w:ascii="Minion Pro" w:hAnsi="Minion Pro" w:cs="Minion Pro"/>
          <w:sz w:val="28"/>
          <w:szCs w:val="28"/>
          <w:lang w:val="en-US"/>
        </w:rPr>
      </w:pPr>
    </w:p>
    <w:p w:rsidR="002E7909" w:rsidRDefault="002E7909" w:rsidP="002E7909">
      <w:pPr>
        <w:widowControl w:val="0"/>
        <w:autoSpaceDE w:val="0"/>
        <w:autoSpaceDN w:val="0"/>
        <w:adjustRightInd w:val="0"/>
        <w:ind w:right="114"/>
        <w:jc w:val="both"/>
        <w:rPr>
          <w:rFonts w:ascii="Minion Pro" w:hAnsi="Minion Pro" w:cs="Minion Pro"/>
          <w:sz w:val="26"/>
          <w:szCs w:val="26"/>
          <w:lang w:val="en-US"/>
        </w:rPr>
      </w:pPr>
    </w:p>
    <w:p w:rsidR="002E7909" w:rsidRDefault="002E7909" w:rsidP="002E7909">
      <w:pPr>
        <w:widowControl w:val="0"/>
        <w:autoSpaceDE w:val="0"/>
        <w:autoSpaceDN w:val="0"/>
        <w:adjustRightInd w:val="0"/>
        <w:ind w:right="114"/>
        <w:jc w:val="both"/>
        <w:rPr>
          <w:rFonts w:ascii="Minion Pro" w:hAnsi="Minion Pro" w:cs="Minion Pro"/>
          <w:sz w:val="26"/>
          <w:szCs w:val="26"/>
          <w:lang w:val="en-US"/>
        </w:rPr>
      </w:pPr>
    </w:p>
    <w:p w:rsidR="002E7909" w:rsidRPr="002E7909" w:rsidRDefault="002E7909" w:rsidP="002E7909">
      <w:pPr>
        <w:widowControl w:val="0"/>
        <w:autoSpaceDE w:val="0"/>
        <w:autoSpaceDN w:val="0"/>
        <w:adjustRightInd w:val="0"/>
        <w:ind w:right="114"/>
        <w:jc w:val="right"/>
        <w:rPr>
          <w:rFonts w:ascii="Minion Pro" w:hAnsi="Minion Pro" w:cs="Minion Pro"/>
          <w:sz w:val="20"/>
          <w:szCs w:val="26"/>
          <w:lang w:val="en-US"/>
        </w:rPr>
      </w:pPr>
      <w:r w:rsidRPr="002E7909">
        <w:rPr>
          <w:rFonts w:ascii="Minion Pro" w:hAnsi="Minion Pro" w:cs="Minion Pro"/>
          <w:sz w:val="20"/>
          <w:szCs w:val="26"/>
          <w:lang w:val="en-US"/>
        </w:rPr>
        <w:t xml:space="preserve">« Si tu fais ce que je te dis en t’appliquant à mes leçons, tu auras toujours : </w:t>
      </w:r>
    </w:p>
    <w:p w:rsidR="002E7909" w:rsidRDefault="002E7909" w:rsidP="002E7909">
      <w:pPr>
        <w:widowControl w:val="0"/>
        <w:autoSpaceDE w:val="0"/>
        <w:autoSpaceDN w:val="0"/>
        <w:adjustRightInd w:val="0"/>
        <w:ind w:right="114"/>
        <w:jc w:val="right"/>
        <w:rPr>
          <w:rFonts w:ascii="Minion Pro" w:hAnsi="Minion Pro" w:cs="Minion Pro"/>
          <w:sz w:val="20"/>
          <w:szCs w:val="26"/>
          <w:lang w:val="en-US"/>
        </w:rPr>
      </w:pPr>
      <w:r w:rsidRPr="002E7909">
        <w:rPr>
          <w:rFonts w:ascii="Minion Pro" w:hAnsi="Minion Pro" w:cs="Minion Pro"/>
          <w:sz w:val="20"/>
          <w:szCs w:val="26"/>
          <w:lang w:val="en-US"/>
        </w:rPr>
        <w:t xml:space="preserve">la poitrine luisante et le teint brillant, les épaules larges et la langue courte, </w:t>
      </w:r>
    </w:p>
    <w:p w:rsidR="002E7909" w:rsidRDefault="002E7909" w:rsidP="002E7909">
      <w:pPr>
        <w:widowControl w:val="0"/>
        <w:autoSpaceDE w:val="0"/>
        <w:autoSpaceDN w:val="0"/>
        <w:adjustRightInd w:val="0"/>
        <w:ind w:right="114"/>
        <w:jc w:val="right"/>
        <w:rPr>
          <w:rFonts w:ascii="Minion Pro" w:hAnsi="Minion Pro" w:cs="Minion Pro"/>
          <w:sz w:val="20"/>
          <w:szCs w:val="26"/>
          <w:lang w:val="en-US"/>
        </w:rPr>
      </w:pPr>
      <w:r w:rsidRPr="002E7909">
        <w:rPr>
          <w:rFonts w:ascii="Minion Pro" w:hAnsi="Minion Pro" w:cs="Minion Pro"/>
          <w:sz w:val="20"/>
          <w:szCs w:val="26"/>
          <w:lang w:val="en-US"/>
        </w:rPr>
        <w:t xml:space="preserve">la fesse rebondie et le pénis petit. ». </w:t>
      </w:r>
    </w:p>
    <w:p w:rsidR="002E7909" w:rsidRPr="002E7909" w:rsidRDefault="002E7909" w:rsidP="002E7909">
      <w:pPr>
        <w:widowControl w:val="0"/>
        <w:autoSpaceDE w:val="0"/>
        <w:autoSpaceDN w:val="0"/>
        <w:adjustRightInd w:val="0"/>
        <w:ind w:right="114"/>
        <w:jc w:val="right"/>
        <w:rPr>
          <w:rFonts w:ascii="Adobe Caslon Pro" w:hAnsi="Adobe Caslon Pro" w:cs="Adobe Caslon Pro"/>
          <w:sz w:val="20"/>
          <w:szCs w:val="28"/>
          <w:lang w:val="en-US"/>
        </w:rPr>
      </w:pPr>
      <w:r w:rsidRPr="002E7909">
        <w:rPr>
          <w:rFonts w:ascii="Minion Pro" w:hAnsi="Minion Pro" w:cs="Minion Pro"/>
          <w:sz w:val="20"/>
          <w:szCs w:val="26"/>
          <w:lang w:val="en-US"/>
        </w:rPr>
        <w:t xml:space="preserve">Aristophane, </w:t>
      </w:r>
      <w:r w:rsidRPr="002E7909">
        <w:rPr>
          <w:rFonts w:ascii="Minion Pro" w:hAnsi="Minion Pro" w:cs="Minion Pro"/>
          <w:i/>
          <w:iCs/>
          <w:sz w:val="20"/>
          <w:szCs w:val="26"/>
          <w:lang w:val="en-US"/>
        </w:rPr>
        <w:t>Les Nuées</w:t>
      </w:r>
      <w:r w:rsidRPr="002E7909">
        <w:rPr>
          <w:rFonts w:ascii="Minion Pro" w:hAnsi="Minion Pro" w:cs="Minion Pro"/>
          <w:sz w:val="20"/>
          <w:szCs w:val="26"/>
          <w:lang w:val="en-US"/>
        </w:rPr>
        <w:t>, v. 1009-1014</w:t>
      </w:r>
    </w:p>
    <w:p w:rsidR="002E7909" w:rsidRPr="002E7909" w:rsidRDefault="002E7909" w:rsidP="002E7909">
      <w:pPr>
        <w:widowControl w:val="0"/>
        <w:autoSpaceDE w:val="0"/>
        <w:autoSpaceDN w:val="0"/>
        <w:adjustRightInd w:val="0"/>
        <w:ind w:right="114"/>
        <w:jc w:val="both"/>
        <w:rPr>
          <w:rFonts w:ascii="Adobe Caslon Pro" w:hAnsi="Adobe Caslon Pro" w:cs="Adobe Caslon Pro"/>
          <w:sz w:val="28"/>
          <w:szCs w:val="28"/>
          <w:lang w:val="en-US"/>
        </w:rPr>
      </w:pPr>
    </w:p>
    <w:p w:rsidR="002E7909" w:rsidRDefault="002E7909"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p>
    <w:p w:rsidR="002E7909" w:rsidRPr="002E7909" w:rsidRDefault="00767756"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r w:rsidR="002E7909" w:rsidRPr="002E7909">
        <w:rPr>
          <w:rFonts w:ascii="Minion Pro" w:hAnsi="Minion Pro" w:cs="Minion Pro"/>
          <w:lang w:val="en-US"/>
        </w:rPr>
        <w:t>Si l’on suit l’hypothèse maintenant acquise</w:t>
      </w:r>
      <w:r w:rsidR="002E7909">
        <w:rPr>
          <w:rStyle w:val="FootnoteReference"/>
          <w:rFonts w:ascii="Minion Pro" w:hAnsi="Minion Pro" w:cs="Minion Pro"/>
          <w:lang w:val="en-US"/>
        </w:rPr>
        <w:footnoteReference w:id="0"/>
      </w:r>
      <w:r w:rsidR="002E7909" w:rsidRPr="002E7909">
        <w:rPr>
          <w:rFonts w:ascii="Minion Pro" w:hAnsi="Minion Pro" w:cs="Minion Pro"/>
          <w:lang w:val="en-US"/>
        </w:rPr>
        <w:t>, que la réduction de la taille des sexes durant l’Antiquité et le XVI</w:t>
      </w:r>
      <w:r w:rsidR="002E7909" w:rsidRPr="00767756">
        <w:rPr>
          <w:rFonts w:ascii="Minion Pro" w:hAnsi="Minion Pro" w:cs="Minion Pro"/>
          <w:vertAlign w:val="superscript"/>
          <w:lang w:val="en-US"/>
        </w:rPr>
        <w:t>e</w:t>
      </w:r>
      <w:r w:rsidR="002E7909" w:rsidRPr="002E7909">
        <w:rPr>
          <w:rFonts w:ascii="Minion Pro" w:hAnsi="Minion Pro" w:cs="Minion Pro"/>
          <w:lang w:val="en-US"/>
        </w:rPr>
        <w:t xml:space="preserve"> siècle est due à un problème de valeur qui ne se situe pas sur l’impossibilité de la représentation mais au contraire sur l’idée qu’un sexe trop « voyant » est le signe d’une faible valeur morale de l’être qui le porte. Alors tandis que l’on réduit, que l’on atrophie ces sexes – et surtout le sexe masculin – on va augmenter d’autres espaces du corps à la fois pour combler ce « manque » de sexe et pour faire surgir une autre sphère, celle d’un érotisme des corps, certes, mais surtout celle d’un érotisme des gestes. Nous en rappellerons quelques figures pour parvenir à une analyse plus précise de ce changement de paradigme dans la préparation du maniérisme et surtout chez le peintre Jacopo da Pontormo</w:t>
      </w:r>
      <w:r>
        <w:rPr>
          <w:rStyle w:val="FootnoteReference"/>
          <w:rFonts w:ascii="Minion Pro" w:hAnsi="Minion Pro" w:cs="Minion Pro"/>
          <w:lang w:val="en-US"/>
        </w:rPr>
        <w:footnoteReference w:id="1"/>
      </w:r>
      <w:r w:rsidR="002E7909" w:rsidRPr="002E7909">
        <w:rPr>
          <w:rFonts w:ascii="Minion Pro" w:hAnsi="Minion Pro" w:cs="Minion Pro"/>
          <w:lang w:val="en-US"/>
        </w:rPr>
        <w:t>. Érotisme, érotisme du corps masculin, homoérotisme, dans les peintures, c’est-à-dire dans l’espace public, mais aussi dans l’espace privé des dessins préparatoires et du journal</w:t>
      </w:r>
      <w:r w:rsidR="00901FC6">
        <w:rPr>
          <w:rStyle w:val="FootnoteReference"/>
          <w:rFonts w:ascii="Minion Pro" w:hAnsi="Minion Pro" w:cs="Minion Pro"/>
          <w:lang w:val="en-US"/>
        </w:rPr>
        <w:footnoteReference w:id="2"/>
      </w:r>
      <w:r w:rsidR="002E7909" w:rsidRPr="002E7909">
        <w:rPr>
          <w:rFonts w:ascii="Minion Pro" w:hAnsi="Minion Pro" w:cs="Minion Pro"/>
          <w:lang w:val="en-US"/>
        </w:rPr>
        <w:t>.</w:t>
      </w:r>
    </w:p>
    <w:p w:rsidR="002E7909" w:rsidRPr="002E7909" w:rsidRDefault="00901FC6"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r w:rsidR="002E7909" w:rsidRPr="002E7909">
        <w:rPr>
          <w:rFonts w:ascii="Minion Pro" w:hAnsi="Minion Pro" w:cs="Minion Pro"/>
          <w:lang w:val="en-US"/>
        </w:rPr>
        <w:t>Notre première hypothèse est la suivante : les premières années du XVI</w:t>
      </w:r>
      <w:r w:rsidR="002E7909" w:rsidRPr="00901FC6">
        <w:rPr>
          <w:rFonts w:ascii="Minion Pro" w:hAnsi="Minion Pro" w:cs="Minion Pro"/>
          <w:vertAlign w:val="superscript"/>
          <w:lang w:val="en-US"/>
        </w:rPr>
        <w:t>e</w:t>
      </w:r>
      <w:r w:rsidR="002E7909" w:rsidRPr="002E7909">
        <w:rPr>
          <w:rFonts w:ascii="Minion Pro" w:hAnsi="Minion Pro" w:cs="Minion Pro"/>
          <w:lang w:val="en-US"/>
        </w:rPr>
        <w:t xml:space="preserve"> siècle ont été celles d’une réaffirmation d’un concept antique de la représentation de sexes de petite taille pour indiquer un transfert d’effectivité de la puissance du désir. Il s’agit de représenter le corps nu et le sexe mais à partir d’un changement moral et d’un changement esthétique de la représentation. </w:t>
      </w:r>
    </w:p>
    <w:p w:rsidR="002E7909" w:rsidRPr="002E7909" w:rsidRDefault="00901FC6"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r w:rsidR="002E7909" w:rsidRPr="002E7909">
        <w:rPr>
          <w:rFonts w:ascii="Minion Pro" w:hAnsi="Minion Pro" w:cs="Minion Pro"/>
          <w:lang w:val="en-US"/>
        </w:rPr>
        <w:t>Notre seconde hypothèse est alors la suivante : si l’on suit la première, est visible un changement de paradigme qui implique nécessairement la production d’une nouvelle sphère de l’érotisme. Celle-ci se situe dans une hyper-érotisation du corps masculin et une affirmation, exemplaire d’un érotisme et d’un homoérotisme des gestes (alors même que les sexes sont représentés). C’est précisément ce modèle qui a fasciné le XVI</w:t>
      </w:r>
      <w:r w:rsidR="002E7909" w:rsidRPr="00901FC6">
        <w:rPr>
          <w:rFonts w:ascii="Minion Pro" w:hAnsi="Minion Pro" w:cs="Minion Pro"/>
          <w:vertAlign w:val="superscript"/>
          <w:lang w:val="en-US"/>
        </w:rPr>
        <w:t>e</w:t>
      </w:r>
      <w:r w:rsidR="002E7909" w:rsidRPr="002E7909">
        <w:rPr>
          <w:rFonts w:ascii="Minion Pro" w:hAnsi="Minion Pro" w:cs="Minion Pro"/>
          <w:lang w:val="en-US"/>
        </w:rPr>
        <w:t>, mais qui a conduit aussi à une réaction inverse sous la forme d’un «</w:t>
      </w:r>
      <w:r>
        <w:rPr>
          <w:rFonts w:ascii="Minion Pro" w:hAnsi="Minion Pro" w:cs="Minion Pro"/>
          <w:lang w:val="en-US"/>
        </w:rPr>
        <w:t xml:space="preserve"> </w:t>
      </w:r>
      <w:r w:rsidR="002E7909" w:rsidRPr="002E7909">
        <w:rPr>
          <w:rFonts w:ascii="Minion Pro" w:hAnsi="Minion Pro" w:cs="Minion Pro"/>
          <w:lang w:val="en-US"/>
        </w:rPr>
        <w:t>rhabillement</w:t>
      </w:r>
      <w:r>
        <w:rPr>
          <w:rFonts w:ascii="Minion Pro" w:hAnsi="Minion Pro" w:cs="Minion Pro"/>
          <w:lang w:val="en-US"/>
        </w:rPr>
        <w:t xml:space="preserve"> </w:t>
      </w:r>
      <w:r w:rsidR="002E7909" w:rsidRPr="002E7909">
        <w:rPr>
          <w:rFonts w:ascii="Minion Pro" w:hAnsi="Minion Pro" w:cs="Minion Pro"/>
          <w:lang w:val="en-US"/>
        </w:rPr>
        <w:t>» systématique (XVII</w:t>
      </w:r>
      <w:r w:rsidR="002E7909" w:rsidRPr="00901FC6">
        <w:rPr>
          <w:rFonts w:ascii="Minion Pro" w:hAnsi="Minion Pro" w:cs="Minion Pro"/>
          <w:vertAlign w:val="superscript"/>
          <w:lang w:val="en-US"/>
        </w:rPr>
        <w:t>e</w:t>
      </w:r>
      <w:r w:rsidR="002E7909" w:rsidRPr="002E7909">
        <w:rPr>
          <w:rFonts w:ascii="Minion Pro" w:hAnsi="Minion Pro" w:cs="Minion Pro"/>
          <w:lang w:val="en-US"/>
        </w:rPr>
        <w:t>) et d’une conservation de ces gestes. C’est encore ce modèle qui a fasciné le XIX</w:t>
      </w:r>
      <w:r w:rsidR="002E7909" w:rsidRPr="00901FC6">
        <w:rPr>
          <w:rFonts w:ascii="Minion Pro" w:hAnsi="Minion Pro" w:cs="Minion Pro"/>
          <w:vertAlign w:val="superscript"/>
          <w:lang w:val="en-US"/>
        </w:rPr>
        <w:t>e</w:t>
      </w:r>
      <w:r w:rsidR="002E7909" w:rsidRPr="002E7909">
        <w:rPr>
          <w:rFonts w:ascii="Minion Pro" w:hAnsi="Minion Pro" w:cs="Minion Pro"/>
          <w:lang w:val="en-US"/>
        </w:rPr>
        <w:t xml:space="preserve">, tétanisé par l’interdit et la censure de Courbet à Manet. C’est bien sûr ce modèle que notre contemporain est difficilement en mesure de comprendre : celui de la possibilité d’un érotisme et d’un homoérotisme des gestes. </w:t>
      </w:r>
    </w:p>
    <w:p w:rsidR="002E7909" w:rsidRPr="002E7909" w:rsidRDefault="002E7909" w:rsidP="002E7909">
      <w:pPr>
        <w:widowControl w:val="0"/>
        <w:autoSpaceDE w:val="0"/>
        <w:autoSpaceDN w:val="0"/>
        <w:adjustRightInd w:val="0"/>
        <w:spacing w:line="288" w:lineRule="auto"/>
        <w:ind w:right="114"/>
        <w:jc w:val="both"/>
        <w:rPr>
          <w:rFonts w:ascii="Minion Pro" w:hAnsi="Minion Pro" w:cs="Minion Pro"/>
          <w:lang w:val="en-US"/>
        </w:rPr>
      </w:pPr>
    </w:p>
    <w:p w:rsidR="002E7909" w:rsidRPr="002E7909" w:rsidRDefault="00901FC6"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r w:rsidR="002E7909" w:rsidRPr="002E7909">
        <w:rPr>
          <w:rFonts w:ascii="Minion Pro" w:hAnsi="Minion Pro" w:cs="Minion Pro"/>
          <w:lang w:val="en-US"/>
        </w:rPr>
        <w:t>On le sait depuis maintenant longtemps</w:t>
      </w:r>
      <w:r>
        <w:rPr>
          <w:rStyle w:val="FootnoteReference"/>
          <w:rFonts w:ascii="Minion Pro" w:hAnsi="Minion Pro" w:cs="Minion Pro"/>
          <w:lang w:val="en-US"/>
        </w:rPr>
        <w:footnoteReference w:id="3"/>
      </w:r>
      <w:r w:rsidR="002E7909" w:rsidRPr="002E7909">
        <w:rPr>
          <w:rFonts w:ascii="Minion Pro" w:hAnsi="Minion Pro" w:cs="Minion Pro"/>
          <w:lang w:val="en-US"/>
        </w:rPr>
        <w:t xml:space="preserve"> la représentation du sexe masculin est liée à un problème de désignation d’un caractère comme rationalité et tempérance et comme épreuve d’un désir structuré. Afficher un petit sexe est le signe d’une grande tempérance tandis qu’en afficher un grand serait à la fois le signe d’une non tempérance et/ou d’une appartenance à ce que les Grecs nomment </w:t>
      </w:r>
      <w:r w:rsidR="002E7909" w:rsidRPr="002E7909">
        <w:rPr>
          <w:rFonts w:ascii="Minion Pro" w:hAnsi="Minion Pro" w:cs="Minion Pro"/>
          <w:i/>
          <w:iCs/>
          <w:lang w:val="en-US"/>
        </w:rPr>
        <w:t xml:space="preserve">barbaros. </w:t>
      </w:r>
      <w:r w:rsidR="002E7909" w:rsidRPr="002E7909">
        <w:rPr>
          <w:rFonts w:ascii="Minion Pro" w:hAnsi="Minion Pro" w:cs="Minion Pro"/>
          <w:lang w:val="en-US"/>
        </w:rPr>
        <w:t xml:space="preserve">Il suffit pour cela de prendre pour exemple n’importe quelle sculpture antique contre celle du </w:t>
      </w:r>
      <w:r w:rsidR="002E7909" w:rsidRPr="002E7909">
        <w:rPr>
          <w:rFonts w:ascii="Minion Pro" w:hAnsi="Minion Pro" w:cs="Minion Pro"/>
          <w:i/>
          <w:iCs/>
          <w:lang w:val="en-US"/>
        </w:rPr>
        <w:t>Galate mourant</w:t>
      </w:r>
      <w:r w:rsidR="002E7909" w:rsidRPr="002E7909">
        <w:rPr>
          <w:rFonts w:ascii="Minion Pro" w:hAnsi="Minion Pro" w:cs="Minion Pro"/>
          <w:lang w:val="en-US"/>
        </w:rPr>
        <w:t xml:space="preserve">, qui lui porte, comme </w:t>
      </w:r>
      <w:r w:rsidR="002E7909" w:rsidRPr="002E7909">
        <w:rPr>
          <w:rFonts w:ascii="Minion Pro" w:hAnsi="Minion Pro" w:cs="Minion Pro"/>
          <w:i/>
          <w:iCs/>
          <w:lang w:val="en-US"/>
        </w:rPr>
        <w:t>barbare</w:t>
      </w:r>
      <w:r w:rsidR="002E7909" w:rsidRPr="002E7909">
        <w:rPr>
          <w:rFonts w:ascii="Minion Pro" w:hAnsi="Minion Pro" w:cs="Minion Pro"/>
          <w:lang w:val="en-US"/>
        </w:rPr>
        <w:t>, un sexe de taille « normale »</w:t>
      </w:r>
      <w:r>
        <w:rPr>
          <w:rStyle w:val="FootnoteReference"/>
          <w:rFonts w:ascii="Minion Pro" w:hAnsi="Minion Pro" w:cs="Minion Pro"/>
          <w:lang w:val="en-US"/>
        </w:rPr>
        <w:footnoteReference w:id="4"/>
      </w:r>
      <w:r w:rsidR="002E7909" w:rsidRPr="002E7909">
        <w:rPr>
          <w:rFonts w:ascii="Minion Pro" w:hAnsi="Minion Pro" w:cs="Minion Pro"/>
          <w:lang w:val="en-US"/>
        </w:rPr>
        <w:t xml:space="preserve">. Il suffit pour cela de relire </w:t>
      </w:r>
      <w:r w:rsidR="002E7909" w:rsidRPr="002E7909">
        <w:rPr>
          <w:rFonts w:ascii="Minion Pro" w:hAnsi="Minion Pro" w:cs="Minion Pro"/>
          <w:i/>
          <w:iCs/>
          <w:lang w:val="en-US"/>
        </w:rPr>
        <w:t>Les Nuées</w:t>
      </w:r>
      <w:r w:rsidR="002E7909" w:rsidRPr="002E7909">
        <w:rPr>
          <w:rFonts w:ascii="Minion Pro" w:hAnsi="Minion Pro" w:cs="Minion Pro"/>
          <w:lang w:val="en-US"/>
        </w:rPr>
        <w:t xml:space="preserve"> d’Aristophane et de comprendre la précise construction du corps et de sa représentation comme affirmation d’un idéal politique et morale</w:t>
      </w:r>
      <w:r>
        <w:rPr>
          <w:rStyle w:val="FootnoteReference"/>
          <w:rFonts w:ascii="Minion Pro" w:hAnsi="Minion Pro" w:cs="Minion Pro"/>
          <w:lang w:val="en-US"/>
        </w:rPr>
        <w:footnoteReference w:id="5"/>
      </w:r>
      <w:r w:rsidR="002E7909" w:rsidRPr="002E7909">
        <w:rPr>
          <w:rFonts w:ascii="Minion Pro" w:hAnsi="Minion Pro" w:cs="Minion Pro"/>
          <w:lang w:val="en-US"/>
        </w:rPr>
        <w:t>. On le sait aussi la pensée antique grecque n’a pas hésité à représenter des sexes masculins de grandes tailles à la fois pour désigner cette intempérance et ce dérèglement mais aussi et surtout la représentation d’une puissance métaphysique nécessaire à la tenue du commun, telles que peuvent l’indiquer chez les Grecs les fêtes dionysiaques des Phallophories</w:t>
      </w:r>
      <w:r>
        <w:rPr>
          <w:rStyle w:val="FootnoteReference"/>
          <w:rFonts w:ascii="Minion Pro" w:hAnsi="Minion Pro" w:cs="Minion Pro"/>
          <w:lang w:val="en-US"/>
        </w:rPr>
        <w:footnoteReference w:id="6"/>
      </w:r>
      <w:r w:rsidR="002E7909" w:rsidRPr="002E7909">
        <w:rPr>
          <w:rFonts w:ascii="Minion Pro" w:hAnsi="Minion Pro" w:cs="Minion Pro"/>
          <w:lang w:val="en-US"/>
        </w:rPr>
        <w:t xml:space="preserve"> ou les représentations incessantes des faunes et des satyres. Il est encore à noter qu’il existe une certaine fascination dans la pensée grecque pour une forme de contraste dialectique fort dans la représentation des corps entre un système de signes qui indique avec précision les modalités du corps masculin et du </w:t>
      </w:r>
      <w:r w:rsidR="00C47016">
        <w:rPr>
          <w:rFonts w:ascii="Minion Pro" w:hAnsi="Minion Pro" w:cs="Minion Pro"/>
          <w:lang w:val="en-US"/>
        </w:rPr>
        <w:t xml:space="preserve">corps </w:t>
      </w:r>
      <w:r w:rsidR="002E7909" w:rsidRPr="002E7909">
        <w:rPr>
          <w:rFonts w:ascii="Minion Pro" w:hAnsi="Minion Pro" w:cs="Minion Pro"/>
          <w:lang w:val="en-US"/>
        </w:rPr>
        <w:t>féminin mais aussi qui indique quelque chose d’étrange à la fois dans ces sexes « trop » petits mais aussi dans des corps intersexes : fascination pour le personnage d’Agdistis</w:t>
      </w:r>
      <w:r w:rsidR="00C47016">
        <w:rPr>
          <w:rStyle w:val="FootnoteReference"/>
          <w:rFonts w:ascii="Minion Pro" w:hAnsi="Minion Pro" w:cs="Minion Pro"/>
          <w:lang w:val="en-US"/>
        </w:rPr>
        <w:footnoteReference w:id="7"/>
      </w:r>
      <w:r w:rsidR="002E7909" w:rsidRPr="002E7909">
        <w:rPr>
          <w:rFonts w:ascii="Minion Pro" w:hAnsi="Minion Pro" w:cs="Minion Pro"/>
          <w:lang w:val="en-US"/>
        </w:rPr>
        <w:t>, fascination pour l’érotisme de ces figures tel qu’il peut être visible dans la célèbre sculpture de l’</w:t>
      </w:r>
      <w:r w:rsidR="002E7909" w:rsidRPr="002E7909">
        <w:rPr>
          <w:rFonts w:ascii="Minion Pro" w:hAnsi="Minion Pro" w:cs="Minion Pro"/>
          <w:i/>
          <w:iCs/>
          <w:lang w:val="en-US"/>
        </w:rPr>
        <w:t>Hermaphrodite endormi</w:t>
      </w:r>
      <w:r w:rsidR="00C47016">
        <w:rPr>
          <w:rStyle w:val="FootnoteReference"/>
          <w:rFonts w:ascii="Minion Pro" w:hAnsi="Minion Pro" w:cs="Minion Pro"/>
          <w:i/>
          <w:iCs/>
          <w:lang w:val="en-US"/>
        </w:rPr>
        <w:footnoteReference w:id="8"/>
      </w:r>
      <w:r w:rsidR="002E7909" w:rsidRPr="002E7909">
        <w:rPr>
          <w:rFonts w:ascii="Minion Pro" w:hAnsi="Minion Pro" w:cs="Minion Pro"/>
          <w:lang w:val="en-US"/>
        </w:rPr>
        <w:t xml:space="preserve"> ou encore la fascination intellectuelle pour le philosophe celte né à Arles, Favorinos</w:t>
      </w:r>
      <w:r w:rsidR="00C47016">
        <w:rPr>
          <w:rStyle w:val="FootnoteReference"/>
          <w:rFonts w:ascii="Minion Pro" w:hAnsi="Minion Pro" w:cs="Minion Pro"/>
          <w:lang w:val="en-US"/>
        </w:rPr>
        <w:footnoteReference w:id="9"/>
      </w:r>
      <w:r w:rsidR="002E7909" w:rsidRPr="002E7909">
        <w:rPr>
          <w:rFonts w:ascii="Minion Pro" w:hAnsi="Minion Pro" w:cs="Minion Pro"/>
          <w:lang w:val="en-US"/>
        </w:rPr>
        <w:t>. Cette fascination consiste à construire un schéma complexe du désir : d’abord la nécessité de conserver les attributs de la masculinité et de la féminité (proportion des corps, musculatures, gestes, etc.) mais dans un déplacement de la représentation des sexes et de la sexualité, comme s’il s’agissait alors de construire ce que nous pourrions nommer</w:t>
      </w:r>
      <w:r w:rsidR="009F3372">
        <w:rPr>
          <w:rFonts w:ascii="Minion Pro" w:hAnsi="Minion Pro" w:cs="Minion Pro"/>
          <w:lang w:val="en-US"/>
        </w:rPr>
        <w:t>,</w:t>
      </w:r>
      <w:r w:rsidR="002E7909" w:rsidRPr="002E7909">
        <w:rPr>
          <w:rFonts w:ascii="Minion Pro" w:hAnsi="Minion Pro" w:cs="Minion Pro"/>
          <w:lang w:val="en-US"/>
        </w:rPr>
        <w:t xml:space="preserve"> </w:t>
      </w:r>
      <w:r w:rsidR="00001CB7">
        <w:rPr>
          <w:rFonts w:ascii="Minion Pro" w:hAnsi="Minion Pro" w:cs="Minion Pro"/>
          <w:lang w:val="en-US"/>
        </w:rPr>
        <w:t>d'une part</w:t>
      </w:r>
      <w:r w:rsidR="009F3372">
        <w:rPr>
          <w:rFonts w:ascii="Minion Pro" w:hAnsi="Minion Pro" w:cs="Minion Pro"/>
          <w:lang w:val="en-US"/>
        </w:rPr>
        <w:t>,</w:t>
      </w:r>
      <w:r w:rsidR="00001CB7">
        <w:rPr>
          <w:rFonts w:ascii="Minion Pro" w:hAnsi="Minion Pro" w:cs="Minion Pro"/>
          <w:lang w:val="en-US"/>
        </w:rPr>
        <w:t xml:space="preserve"> </w:t>
      </w:r>
      <w:r w:rsidR="002E7909" w:rsidRPr="002E7909">
        <w:rPr>
          <w:rFonts w:ascii="Minion Pro" w:hAnsi="Minion Pro" w:cs="Minion Pro"/>
          <w:lang w:val="en-US"/>
        </w:rPr>
        <w:t>une sexuation</w:t>
      </w:r>
      <w:r w:rsidR="001942D4">
        <w:rPr>
          <w:rFonts w:ascii="Minion Pro" w:hAnsi="Minion Pro" w:cs="Minion Pro"/>
          <w:lang w:val="en-US"/>
        </w:rPr>
        <w:t xml:space="preserve"> </w:t>
      </w:r>
      <w:r w:rsidR="00001CB7">
        <w:rPr>
          <w:rFonts w:ascii="Minion Pro" w:hAnsi="Minion Pro" w:cs="Minion Pro"/>
          <w:lang w:val="en-US"/>
        </w:rPr>
        <w:t>intersexe et qui aurait la particularité de maintenir ensemble les deux sexes</w:t>
      </w:r>
      <w:r w:rsidR="00001CB7">
        <w:rPr>
          <w:rStyle w:val="FootnoteReference"/>
          <w:rFonts w:ascii="Minion Pro" w:hAnsi="Minion Pro" w:cs="Minion Pro"/>
          <w:lang w:val="en-US"/>
        </w:rPr>
        <w:footnoteReference w:id="10"/>
      </w:r>
      <w:r w:rsidR="00001CB7">
        <w:rPr>
          <w:rFonts w:ascii="Minion Pro" w:hAnsi="Minion Pro" w:cs="Minion Pro"/>
          <w:lang w:val="en-US"/>
        </w:rPr>
        <w:t xml:space="preserve"> et, d'autre part</w:t>
      </w:r>
      <w:r w:rsidR="009F3372">
        <w:rPr>
          <w:rFonts w:ascii="Minion Pro" w:hAnsi="Minion Pro" w:cs="Minion Pro"/>
          <w:lang w:val="en-US"/>
        </w:rPr>
        <w:t>,</w:t>
      </w:r>
      <w:r w:rsidR="00001CB7">
        <w:rPr>
          <w:rFonts w:ascii="Minion Pro" w:hAnsi="Minion Pro" w:cs="Minion Pro"/>
          <w:lang w:val="en-US"/>
        </w:rPr>
        <w:t xml:space="preserve"> une sexuation</w:t>
      </w:r>
      <w:r w:rsidR="002E7909" w:rsidRPr="002E7909">
        <w:rPr>
          <w:rFonts w:ascii="Minion Pro" w:hAnsi="Minion Pro" w:cs="Minion Pro"/>
          <w:lang w:val="en-US"/>
        </w:rPr>
        <w:t xml:space="preserve"> </w:t>
      </w:r>
      <w:r w:rsidR="002E7909" w:rsidRPr="002E7909">
        <w:rPr>
          <w:rFonts w:ascii="Minion Pro" w:hAnsi="Minion Pro" w:cs="Minion Pro"/>
          <w:i/>
          <w:iCs/>
          <w:lang w:val="en-US"/>
        </w:rPr>
        <w:t>néoténique</w:t>
      </w:r>
      <w:r w:rsidR="002E7909" w:rsidRPr="002E7909">
        <w:rPr>
          <w:rFonts w:ascii="Minion Pro" w:hAnsi="Minion Pro" w:cs="Minion Pro"/>
          <w:lang w:val="en-US"/>
        </w:rPr>
        <w:t>, c’est-à-dire une sexuation, à peine d’adolescent</w:t>
      </w:r>
      <w:r w:rsidR="00C47016">
        <w:rPr>
          <w:rStyle w:val="FootnoteReference"/>
          <w:rFonts w:ascii="Minion Pro" w:hAnsi="Minion Pro" w:cs="Minion Pro"/>
          <w:lang w:val="en-US"/>
        </w:rPr>
        <w:footnoteReference w:id="11"/>
      </w:r>
      <w:r w:rsidR="002E7909" w:rsidRPr="002E7909">
        <w:rPr>
          <w:rFonts w:ascii="Minion Pro" w:hAnsi="Minion Pro" w:cs="Minion Pro"/>
          <w:lang w:val="en-US"/>
        </w:rPr>
        <w:t>. La représentation conceptuelle du désir, s’est donc construite à partir d’une réduction sensible des sexes, et à partir d’une hypertrophie des particularités des corps : musculatur</w:t>
      </w:r>
      <w:r w:rsidR="00C47016">
        <w:rPr>
          <w:rFonts w:ascii="Minion Pro" w:hAnsi="Minion Pro" w:cs="Minion Pro"/>
          <w:lang w:val="en-US"/>
        </w:rPr>
        <w:t>es d’une part et gestes d’autre</w:t>
      </w:r>
      <w:r w:rsidR="002E7909" w:rsidRPr="002E7909">
        <w:rPr>
          <w:rFonts w:ascii="Minion Pro" w:hAnsi="Minion Pro" w:cs="Minion Pro"/>
          <w:lang w:val="en-US"/>
        </w:rPr>
        <w:t xml:space="preserve"> part. Cela a construit pour l’histoire de l’art et l’histoire moderne de la réception</w:t>
      </w:r>
      <w:r w:rsidR="005D6DB7">
        <w:rPr>
          <w:rFonts w:ascii="Minion Pro" w:hAnsi="Minion Pro" w:cs="Minion Pro"/>
          <w:lang w:val="en-US"/>
        </w:rPr>
        <w:t>,</w:t>
      </w:r>
      <w:r w:rsidR="002E7909" w:rsidRPr="002E7909">
        <w:rPr>
          <w:rFonts w:ascii="Minion Pro" w:hAnsi="Minion Pro" w:cs="Minion Pro"/>
          <w:lang w:val="en-US"/>
        </w:rPr>
        <w:t xml:space="preserve"> des valeurs caractéristiques d’un érotisme et surtout d’un homoérotisme</w:t>
      </w:r>
      <w:r w:rsidR="00C47016">
        <w:rPr>
          <w:rStyle w:val="FootnoteReference"/>
          <w:rFonts w:ascii="Minion Pro" w:hAnsi="Minion Pro" w:cs="Minion Pro"/>
          <w:lang w:val="en-US"/>
        </w:rPr>
        <w:footnoteReference w:id="12"/>
      </w:r>
      <w:r w:rsidR="002E7909" w:rsidRPr="002E7909">
        <w:rPr>
          <w:rFonts w:ascii="Minion Pro" w:hAnsi="Minion Pro" w:cs="Minion Pro"/>
          <w:lang w:val="en-US"/>
        </w:rPr>
        <w:t xml:space="preserve">. </w:t>
      </w:r>
    </w:p>
    <w:p w:rsidR="002E7909" w:rsidRPr="002E7909" w:rsidRDefault="002E7909" w:rsidP="002E7909">
      <w:pPr>
        <w:widowControl w:val="0"/>
        <w:autoSpaceDE w:val="0"/>
        <w:autoSpaceDN w:val="0"/>
        <w:adjustRightInd w:val="0"/>
        <w:spacing w:line="288" w:lineRule="auto"/>
        <w:ind w:right="114"/>
        <w:jc w:val="both"/>
        <w:rPr>
          <w:rFonts w:ascii="Minion Pro" w:hAnsi="Minion Pro" w:cs="Minion Pro"/>
          <w:lang w:val="en-US"/>
        </w:rPr>
      </w:pPr>
    </w:p>
    <w:p w:rsidR="00E356C4" w:rsidRDefault="00C47016"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r w:rsidR="002E7909" w:rsidRPr="002E7909">
        <w:rPr>
          <w:rFonts w:ascii="Minion Pro" w:hAnsi="Minion Pro" w:cs="Minion Pro"/>
          <w:lang w:val="en-US"/>
        </w:rPr>
        <w:t xml:space="preserve">Ce qui nous intéresse alors est la construction de cet </w:t>
      </w:r>
      <w:r w:rsidR="002E7909" w:rsidRPr="002E7909">
        <w:rPr>
          <w:rFonts w:ascii="Minion Pro" w:hAnsi="Minion Pro" w:cs="Minion Pro"/>
          <w:i/>
          <w:iCs/>
          <w:lang w:val="en-US"/>
        </w:rPr>
        <w:t>homoérotisme</w:t>
      </w:r>
      <w:r w:rsidR="002E7909" w:rsidRPr="002E7909">
        <w:rPr>
          <w:rFonts w:ascii="Minion Pro" w:hAnsi="Minion Pro" w:cs="Minion Pro"/>
          <w:lang w:val="en-US"/>
        </w:rPr>
        <w:t xml:space="preserve"> – ou pour le dire encore autrement la construction d’une fascination pour le corps masculin à peine sexué – durant les deux premières génération</w:t>
      </w:r>
      <w:r w:rsidR="005D6DB7">
        <w:rPr>
          <w:rFonts w:ascii="Minion Pro" w:hAnsi="Minion Pro" w:cs="Minion Pro"/>
          <w:lang w:val="en-US"/>
        </w:rPr>
        <w:t>s</w:t>
      </w:r>
      <w:r w:rsidR="002E7909" w:rsidRPr="002E7909">
        <w:rPr>
          <w:rFonts w:ascii="Minion Pro" w:hAnsi="Minion Pro" w:cs="Minion Pro"/>
          <w:lang w:val="en-US"/>
        </w:rPr>
        <w:t xml:space="preserve"> du XVI</w:t>
      </w:r>
      <w:r w:rsidR="002E7909" w:rsidRPr="00C47016">
        <w:rPr>
          <w:rFonts w:ascii="Minion Pro" w:hAnsi="Minion Pro" w:cs="Minion Pro"/>
          <w:vertAlign w:val="superscript"/>
          <w:lang w:val="en-US"/>
        </w:rPr>
        <w:t>e</w:t>
      </w:r>
      <w:r w:rsidR="002E7909" w:rsidRPr="002E7909">
        <w:rPr>
          <w:rFonts w:ascii="Minion Pro" w:hAnsi="Minion Pro" w:cs="Minion Pro"/>
          <w:lang w:val="en-US"/>
        </w:rPr>
        <w:t xml:space="preserve"> siècle</w:t>
      </w:r>
      <w:r w:rsidR="005D6DB7">
        <w:rPr>
          <w:rFonts w:ascii="Minion Pro" w:hAnsi="Minion Pro" w:cs="Minion Pro"/>
          <w:lang w:val="en-US"/>
        </w:rPr>
        <w:t xml:space="preserve">, autrement </w:t>
      </w:r>
      <w:r w:rsidR="009F3372">
        <w:rPr>
          <w:rFonts w:ascii="Minion Pro" w:hAnsi="Minion Pro" w:cs="Minion Pro"/>
          <w:lang w:val="en-US"/>
        </w:rPr>
        <w:t xml:space="preserve">dit </w:t>
      </w:r>
      <w:r w:rsidR="005D6DB7">
        <w:rPr>
          <w:rFonts w:ascii="Minion Pro" w:hAnsi="Minion Pro" w:cs="Minion Pro"/>
          <w:lang w:val="en-US"/>
        </w:rPr>
        <w:t>avant la fin du Co</w:t>
      </w:r>
      <w:r w:rsidR="005C2216">
        <w:rPr>
          <w:rFonts w:ascii="Minion Pro" w:hAnsi="Minion Pro" w:cs="Minion Pro"/>
          <w:lang w:val="en-US"/>
        </w:rPr>
        <w:t>ncile de Trente en 1562 qui bloqu</w:t>
      </w:r>
      <w:r w:rsidR="005D6DB7">
        <w:rPr>
          <w:rFonts w:ascii="Minion Pro" w:hAnsi="Minion Pro" w:cs="Minion Pro"/>
          <w:lang w:val="en-US"/>
        </w:rPr>
        <w:t>a l'ensemble des systèmes de représentations</w:t>
      </w:r>
      <w:r w:rsidR="002E7909" w:rsidRPr="002E7909">
        <w:rPr>
          <w:rFonts w:ascii="Minion Pro" w:hAnsi="Minion Pro" w:cs="Minion Pro"/>
          <w:lang w:val="en-US"/>
        </w:rPr>
        <w:t xml:space="preserve">. La première provenance de cette fascination du masculin est la redécouverte de la pensée </w:t>
      </w:r>
      <w:r w:rsidR="009F3372">
        <w:rPr>
          <w:rFonts w:ascii="Minion Pro" w:hAnsi="Minion Pro" w:cs="Minion Pro"/>
          <w:lang w:val="en-US"/>
        </w:rPr>
        <w:t xml:space="preserve">antique et </w:t>
      </w:r>
      <w:r w:rsidR="002E7909" w:rsidRPr="002E7909">
        <w:rPr>
          <w:rFonts w:ascii="Minion Pro" w:hAnsi="Minion Pro" w:cs="Minion Pro"/>
          <w:lang w:val="en-US"/>
        </w:rPr>
        <w:t>latine et par conséquent l</w:t>
      </w:r>
      <w:r w:rsidR="009F3372">
        <w:rPr>
          <w:rFonts w:ascii="Minion Pro" w:hAnsi="Minion Pro" w:cs="Minion Pro"/>
          <w:lang w:val="en-US"/>
        </w:rPr>
        <w:t>a</w:t>
      </w:r>
      <w:r w:rsidR="002E7909" w:rsidRPr="002E7909">
        <w:rPr>
          <w:rFonts w:ascii="Minion Pro" w:hAnsi="Minion Pro" w:cs="Minion Pro"/>
          <w:lang w:val="en-US"/>
        </w:rPr>
        <w:t xml:space="preserve"> redécouverte d’une esthétique de la représentation des corps. Le corps masculin est alors saisi à partir de cette représentation antique : il est </w:t>
      </w:r>
      <w:r w:rsidR="009F3372">
        <w:rPr>
          <w:rFonts w:ascii="Minion Pro" w:hAnsi="Minion Pro" w:cs="Minion Pro"/>
          <w:lang w:val="en-US"/>
        </w:rPr>
        <w:t>ainsi</w:t>
      </w:r>
      <w:r w:rsidR="002E7909" w:rsidRPr="002E7909">
        <w:rPr>
          <w:rFonts w:ascii="Minion Pro" w:hAnsi="Minion Pro" w:cs="Minion Pro"/>
          <w:lang w:val="en-US"/>
        </w:rPr>
        <w:t xml:space="preserve"> une figure à la fois de la rationalité mais aussi de la gouvernance. Va s’établir pour les modèles de réprésentiton occidentaux une </w:t>
      </w:r>
      <w:r>
        <w:rPr>
          <w:rFonts w:ascii="Minion Pro" w:hAnsi="Minion Pro" w:cs="Minion Pro"/>
          <w:lang w:val="en-US"/>
        </w:rPr>
        <w:t>série</w:t>
      </w:r>
      <w:r w:rsidR="002E7909" w:rsidRPr="002E7909">
        <w:rPr>
          <w:rFonts w:ascii="Minion Pro" w:hAnsi="Minion Pro" w:cs="Minion Pro"/>
          <w:lang w:val="en-US"/>
        </w:rPr>
        <w:t xml:space="preserve"> </w:t>
      </w:r>
      <w:r w:rsidR="005D6DB7">
        <w:rPr>
          <w:rFonts w:ascii="Minion Pro" w:hAnsi="Minion Pro" w:cs="Minion Pro"/>
          <w:lang w:val="en-US"/>
        </w:rPr>
        <w:t xml:space="preserve">de </w:t>
      </w:r>
      <w:r w:rsidR="002E7909" w:rsidRPr="002E7909">
        <w:rPr>
          <w:rFonts w:ascii="Minion Pro" w:hAnsi="Minion Pro" w:cs="Minion Pro"/>
          <w:lang w:val="en-US"/>
        </w:rPr>
        <w:t>figure</w:t>
      </w:r>
      <w:r w:rsidR="005D6DB7">
        <w:rPr>
          <w:rFonts w:ascii="Minion Pro" w:hAnsi="Minion Pro" w:cs="Minion Pro"/>
          <w:lang w:val="en-US"/>
        </w:rPr>
        <w:t>s</w:t>
      </w:r>
      <w:r w:rsidR="002E7909" w:rsidRPr="002E7909">
        <w:rPr>
          <w:rFonts w:ascii="Minion Pro" w:hAnsi="Minion Pro" w:cs="Minion Pro"/>
          <w:lang w:val="en-US"/>
        </w:rPr>
        <w:t xml:space="preserve"> essentielle</w:t>
      </w:r>
      <w:r w:rsidR="005D6DB7">
        <w:rPr>
          <w:rFonts w:ascii="Minion Pro" w:hAnsi="Minion Pro" w:cs="Minion Pro"/>
          <w:lang w:val="en-US"/>
        </w:rPr>
        <w:t>s</w:t>
      </w:r>
      <w:r w:rsidR="002E7909" w:rsidRPr="002E7909">
        <w:rPr>
          <w:rFonts w:ascii="Minion Pro" w:hAnsi="Minion Pro" w:cs="Minion Pro"/>
          <w:lang w:val="en-US"/>
        </w:rPr>
        <w:t xml:space="preserve"> pour saisir cet </w:t>
      </w:r>
      <w:r w:rsidR="002E7909" w:rsidRPr="002E7909">
        <w:rPr>
          <w:rFonts w:ascii="Minion Pro" w:hAnsi="Minion Pro" w:cs="Minion Pro"/>
          <w:i/>
          <w:iCs/>
          <w:lang w:val="en-US"/>
        </w:rPr>
        <w:t>homoérotisme</w:t>
      </w:r>
      <w:r w:rsidR="002E7909" w:rsidRPr="002E7909">
        <w:rPr>
          <w:rFonts w:ascii="Minion Pro" w:hAnsi="Minion Pro" w:cs="Minion Pro"/>
          <w:lang w:val="en-US"/>
        </w:rPr>
        <w:t>, comme fascination pour l</w:t>
      </w:r>
      <w:r w:rsidR="005D6DB7">
        <w:rPr>
          <w:rFonts w:ascii="Minion Pro" w:hAnsi="Minion Pro" w:cs="Minion Pro"/>
          <w:lang w:val="en-US"/>
        </w:rPr>
        <w:t xml:space="preserve">a puissance du corps masculin. </w:t>
      </w:r>
    </w:p>
    <w:p w:rsidR="00E356C4" w:rsidRDefault="00E356C4"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r w:rsidR="005D6DB7">
        <w:rPr>
          <w:rFonts w:ascii="Minion Pro" w:hAnsi="Minion Pro" w:cs="Minion Pro"/>
          <w:lang w:val="en-US"/>
        </w:rPr>
        <w:t>Nous prop</w:t>
      </w:r>
      <w:r w:rsidR="0050237D">
        <w:rPr>
          <w:rFonts w:ascii="Minion Pro" w:hAnsi="Minion Pro" w:cs="Minion Pro"/>
          <w:lang w:val="en-US"/>
        </w:rPr>
        <w:t>o</w:t>
      </w:r>
      <w:r w:rsidR="005D6DB7">
        <w:rPr>
          <w:rFonts w:ascii="Minion Pro" w:hAnsi="Minion Pro" w:cs="Minion Pro"/>
          <w:lang w:val="en-US"/>
        </w:rPr>
        <w:t>sons q</w:t>
      </w:r>
      <w:r w:rsidR="002E7909" w:rsidRPr="002E7909">
        <w:rPr>
          <w:rFonts w:ascii="Minion Pro" w:hAnsi="Minion Pro" w:cs="Minion Pro"/>
          <w:lang w:val="en-US"/>
        </w:rPr>
        <w:t>uatre exemples</w:t>
      </w:r>
      <w:r w:rsidR="005D6DB7">
        <w:rPr>
          <w:rFonts w:ascii="Minion Pro" w:hAnsi="Minion Pro" w:cs="Minion Pro"/>
          <w:lang w:val="en-US"/>
        </w:rPr>
        <w:t xml:space="preserve"> p</w:t>
      </w:r>
      <w:r w:rsidR="009F3372">
        <w:rPr>
          <w:rFonts w:ascii="Minion Pro" w:hAnsi="Minion Pro" w:cs="Minion Pro"/>
          <w:lang w:val="en-US"/>
        </w:rPr>
        <w:t>o</w:t>
      </w:r>
      <w:r w:rsidR="005D6DB7">
        <w:rPr>
          <w:rFonts w:ascii="Minion Pro" w:hAnsi="Minion Pro" w:cs="Minion Pro"/>
          <w:lang w:val="en-US"/>
        </w:rPr>
        <w:t>ur étayer nos hypothèses</w:t>
      </w:r>
      <w:r w:rsidR="002E7909" w:rsidRPr="002E7909">
        <w:rPr>
          <w:rFonts w:ascii="Minion Pro" w:hAnsi="Minion Pro" w:cs="Minion Pro"/>
          <w:lang w:val="en-US"/>
        </w:rPr>
        <w:t xml:space="preserve">. D’abord les fresques du </w:t>
      </w:r>
      <w:r w:rsidR="002E7909" w:rsidRPr="002E7909">
        <w:rPr>
          <w:rFonts w:ascii="Minion Pro" w:hAnsi="Minion Pro" w:cs="Minion Pro"/>
          <w:i/>
          <w:iCs/>
          <w:lang w:val="en-US"/>
        </w:rPr>
        <w:t>Salon de</w:t>
      </w:r>
      <w:r w:rsidR="0050237D">
        <w:rPr>
          <w:rFonts w:ascii="Minion Pro" w:hAnsi="Minion Pro" w:cs="Minion Pro"/>
          <w:i/>
          <w:iCs/>
          <w:lang w:val="en-US"/>
        </w:rPr>
        <w:t>s</w:t>
      </w:r>
      <w:r w:rsidR="002E7909" w:rsidRPr="002E7909">
        <w:rPr>
          <w:rFonts w:ascii="Minion Pro" w:hAnsi="Minion Pro" w:cs="Minion Pro"/>
          <w:i/>
          <w:iCs/>
          <w:lang w:val="en-US"/>
        </w:rPr>
        <w:t xml:space="preserve"> mois </w:t>
      </w:r>
      <w:r w:rsidR="002E7909" w:rsidRPr="002E7909">
        <w:rPr>
          <w:rFonts w:ascii="Minion Pro" w:hAnsi="Minion Pro" w:cs="Minion Pro"/>
          <w:lang w:val="en-US"/>
        </w:rPr>
        <w:t>du Palazzo Schifanoia à Ferrare</w:t>
      </w:r>
      <w:r w:rsidR="00C47016">
        <w:rPr>
          <w:rStyle w:val="FootnoteReference"/>
          <w:rFonts w:ascii="Minion Pro" w:hAnsi="Minion Pro" w:cs="Minion Pro"/>
          <w:lang w:val="en-US"/>
        </w:rPr>
        <w:footnoteReference w:id="13"/>
      </w:r>
      <w:r w:rsidR="009F3372">
        <w:rPr>
          <w:rFonts w:ascii="Minion Pro" w:hAnsi="Minion Pro" w:cs="Minion Pro"/>
          <w:lang w:val="en-US"/>
        </w:rPr>
        <w:t xml:space="preserve"> réalisées à partir de 1470</w:t>
      </w:r>
      <w:r w:rsidR="002E7909" w:rsidRPr="002E7909">
        <w:rPr>
          <w:rFonts w:ascii="Minion Pro" w:hAnsi="Minion Pro" w:cs="Minion Pro"/>
          <w:lang w:val="en-US"/>
        </w:rPr>
        <w:t>. Aucun hommes nus</w:t>
      </w:r>
      <w:r w:rsidR="006B3136">
        <w:rPr>
          <w:rFonts w:ascii="Minion Pro" w:hAnsi="Minion Pro" w:cs="Minion Pro"/>
          <w:lang w:val="en-US"/>
        </w:rPr>
        <w:t xml:space="preserve"> (sauf les </w:t>
      </w:r>
      <w:r w:rsidR="006B3136">
        <w:rPr>
          <w:rFonts w:ascii="Minion Pro" w:hAnsi="Minion Pro" w:cs="Minion Pro"/>
          <w:i/>
          <w:lang w:val="en-US"/>
        </w:rPr>
        <w:t>fanciuli</w:t>
      </w:r>
      <w:r w:rsidR="006B3136">
        <w:rPr>
          <w:rFonts w:ascii="Minion Pro" w:hAnsi="Minion Pro" w:cs="Minion Pro"/>
          <w:lang w:val="en-US"/>
        </w:rPr>
        <w:t>, groupes d'enfants, du mois de mai)</w:t>
      </w:r>
      <w:r w:rsidR="002E7909" w:rsidRPr="002E7909">
        <w:rPr>
          <w:rFonts w:ascii="Minion Pro" w:hAnsi="Minion Pro" w:cs="Minion Pro"/>
          <w:lang w:val="en-US"/>
        </w:rPr>
        <w:t xml:space="preserve"> mais une fascination pour le corps emblématique masculin </w:t>
      </w:r>
      <w:r w:rsidR="006B3136">
        <w:rPr>
          <w:rFonts w:ascii="Minion Pro" w:hAnsi="Minion Pro" w:cs="Minion Pro"/>
          <w:lang w:val="en-US"/>
        </w:rPr>
        <w:t xml:space="preserve">représenté comme pouvoir : le corps </w:t>
      </w:r>
      <w:r w:rsidR="002E7909" w:rsidRPr="002E7909">
        <w:rPr>
          <w:rFonts w:ascii="Minion Pro" w:hAnsi="Minion Pro" w:cs="Minion Pro"/>
          <w:lang w:val="en-US"/>
        </w:rPr>
        <w:t>athlétique</w:t>
      </w:r>
      <w:r w:rsidR="006B3136">
        <w:rPr>
          <w:rFonts w:ascii="Minion Pro" w:hAnsi="Minion Pro" w:cs="Minion Pro"/>
          <w:lang w:val="en-US"/>
        </w:rPr>
        <w:t xml:space="preserve"> des chasseurs (mois de mars et avril), des courreurs (mois d'avril)</w:t>
      </w:r>
      <w:r w:rsidR="002E7909" w:rsidRPr="002E7909">
        <w:rPr>
          <w:rFonts w:ascii="Minion Pro" w:hAnsi="Minion Pro" w:cs="Minion Pro"/>
          <w:lang w:val="en-US"/>
        </w:rPr>
        <w:t xml:space="preserve">, </w:t>
      </w:r>
      <w:r w:rsidR="006B3136">
        <w:rPr>
          <w:rFonts w:ascii="Minion Pro" w:hAnsi="Minion Pro" w:cs="Minion Pro"/>
          <w:lang w:val="en-US"/>
        </w:rPr>
        <w:t xml:space="preserve">des </w:t>
      </w:r>
      <w:r w:rsidR="002E7909" w:rsidRPr="002E7909">
        <w:rPr>
          <w:rFonts w:ascii="Minion Pro" w:hAnsi="Minion Pro" w:cs="Minion Pro"/>
          <w:lang w:val="en-US"/>
        </w:rPr>
        <w:t>travailleur</w:t>
      </w:r>
      <w:r w:rsidR="006B3136">
        <w:rPr>
          <w:rFonts w:ascii="Minion Pro" w:hAnsi="Minion Pro" w:cs="Minion Pro"/>
          <w:lang w:val="en-US"/>
        </w:rPr>
        <w:t>s (mois de mars et de mai)</w:t>
      </w:r>
      <w:r w:rsidR="002E7909" w:rsidRPr="002E7909">
        <w:rPr>
          <w:rFonts w:ascii="Minion Pro" w:hAnsi="Minion Pro" w:cs="Minion Pro"/>
          <w:lang w:val="en-US"/>
        </w:rPr>
        <w:t xml:space="preserve">, </w:t>
      </w:r>
      <w:r w:rsidR="006B3136">
        <w:rPr>
          <w:rFonts w:ascii="Minion Pro" w:hAnsi="Minion Pro" w:cs="Minion Pro"/>
          <w:lang w:val="en-US"/>
        </w:rPr>
        <w:t xml:space="preserve">des </w:t>
      </w:r>
      <w:r w:rsidR="002E7909" w:rsidRPr="002E7909">
        <w:rPr>
          <w:rFonts w:ascii="Minion Pro" w:hAnsi="Minion Pro" w:cs="Minion Pro"/>
          <w:lang w:val="en-US"/>
        </w:rPr>
        <w:t>amoureux</w:t>
      </w:r>
      <w:r w:rsidR="006B3136">
        <w:rPr>
          <w:rFonts w:ascii="Minion Pro" w:hAnsi="Minion Pro" w:cs="Minion Pro"/>
          <w:lang w:val="en-US"/>
        </w:rPr>
        <w:t xml:space="preserve"> (représe</w:t>
      </w:r>
      <w:r w:rsidR="009A2CB0">
        <w:rPr>
          <w:rFonts w:ascii="Minion Pro" w:hAnsi="Minion Pro" w:cs="Minion Pro"/>
          <w:lang w:val="en-US"/>
        </w:rPr>
        <w:t>n</w:t>
      </w:r>
      <w:r w:rsidR="006B3136">
        <w:rPr>
          <w:rFonts w:ascii="Minion Pro" w:hAnsi="Minion Pro" w:cs="Minion Pro"/>
          <w:lang w:val="en-US"/>
        </w:rPr>
        <w:t xml:space="preserve">tation des garçons de cours, des favoris, </w:t>
      </w:r>
      <w:r w:rsidR="009A2CB0">
        <w:rPr>
          <w:rFonts w:ascii="Minion Pro" w:hAnsi="Minion Pro" w:cs="Minion Pro"/>
          <w:lang w:val="en-US"/>
        </w:rPr>
        <w:t>des amants</w:t>
      </w:r>
      <w:r w:rsidR="006B3136">
        <w:rPr>
          <w:rFonts w:ascii="Minion Pro" w:hAnsi="Minion Pro" w:cs="Minion Pro"/>
          <w:lang w:val="en-US"/>
        </w:rPr>
        <w:t>)</w:t>
      </w:r>
      <w:r w:rsidR="002E7909" w:rsidRPr="002E7909">
        <w:rPr>
          <w:rFonts w:ascii="Minion Pro" w:hAnsi="Minion Pro" w:cs="Minion Pro"/>
          <w:lang w:val="en-US"/>
        </w:rPr>
        <w:t xml:space="preserve"> et </w:t>
      </w:r>
      <w:r w:rsidR="006B3136">
        <w:rPr>
          <w:rFonts w:ascii="Minion Pro" w:hAnsi="Minion Pro" w:cs="Minion Pro"/>
          <w:lang w:val="en-US"/>
        </w:rPr>
        <w:t xml:space="preserve">le corps de la gouvernance (représentation du prince, </w:t>
      </w:r>
      <w:r w:rsidR="009A2CB0">
        <w:rPr>
          <w:rFonts w:ascii="Minion Pro" w:hAnsi="Minion Pro" w:cs="Minion Pro"/>
          <w:lang w:val="en-US"/>
        </w:rPr>
        <w:t xml:space="preserve">des jeunes aristocrates, </w:t>
      </w:r>
      <w:r w:rsidR="009F3372">
        <w:rPr>
          <w:rFonts w:ascii="Minion Pro" w:hAnsi="Minion Pro" w:cs="Minion Pro"/>
          <w:lang w:val="en-US"/>
        </w:rPr>
        <w:t>d</w:t>
      </w:r>
      <w:r w:rsidR="006B3136">
        <w:rPr>
          <w:rFonts w:ascii="Minion Pro" w:hAnsi="Minion Pro" w:cs="Minion Pro"/>
          <w:lang w:val="en-US"/>
        </w:rPr>
        <w:t>es habits</w:t>
      </w:r>
      <w:r w:rsidR="0050237D">
        <w:rPr>
          <w:rFonts w:ascii="Minion Pro" w:hAnsi="Minion Pro" w:cs="Minion Pro"/>
          <w:lang w:val="en-US"/>
        </w:rPr>
        <w:t xml:space="preserve"> de cours</w:t>
      </w:r>
      <w:r w:rsidR="006B3136">
        <w:rPr>
          <w:rFonts w:ascii="Minion Pro" w:hAnsi="Minion Pro" w:cs="Minion Pro"/>
          <w:lang w:val="en-US"/>
        </w:rPr>
        <w:t>, des gestes, etc</w:t>
      </w:r>
      <w:r w:rsidR="002E7909" w:rsidRPr="002E7909">
        <w:rPr>
          <w:rFonts w:ascii="Minion Pro" w:hAnsi="Minion Pro" w:cs="Minion Pro"/>
          <w:lang w:val="en-US"/>
        </w:rPr>
        <w:t>).</w:t>
      </w:r>
      <w:r w:rsidR="006B3136">
        <w:rPr>
          <w:rFonts w:ascii="Minion Pro" w:hAnsi="Minion Pro" w:cs="Minion Pro"/>
          <w:lang w:val="en-US"/>
        </w:rPr>
        <w:t xml:space="preserve"> </w:t>
      </w:r>
      <w:r w:rsidR="009A2CB0">
        <w:rPr>
          <w:rFonts w:ascii="Minion Pro" w:hAnsi="Minion Pro" w:cs="Minion Pro"/>
          <w:lang w:val="en-US"/>
        </w:rPr>
        <w:t>L'ensemble est bien sûr soutenu</w:t>
      </w:r>
      <w:r w:rsidR="006B3136">
        <w:rPr>
          <w:rFonts w:ascii="Minion Pro" w:hAnsi="Minion Pro" w:cs="Minion Pro"/>
          <w:lang w:val="en-US"/>
        </w:rPr>
        <w:t>, peut-on dire, à la fois par les corps des signes du zodiaque et des divinités antiques</w:t>
      </w:r>
      <w:r w:rsidR="009A2CB0">
        <w:rPr>
          <w:rFonts w:ascii="Minion Pro" w:hAnsi="Minion Pro" w:cs="Minion Pro"/>
          <w:lang w:val="en-US"/>
        </w:rPr>
        <w:t xml:space="preserve"> qui ne cessent d'indiquer et de montrer des postures et des gestes</w:t>
      </w:r>
      <w:r w:rsidR="006B3136">
        <w:rPr>
          <w:rFonts w:ascii="Minion Pro" w:hAnsi="Minion Pro" w:cs="Minion Pro"/>
          <w:lang w:val="en-US"/>
        </w:rPr>
        <w:t>.</w:t>
      </w:r>
      <w:r w:rsidR="002E7909" w:rsidRPr="002E7909">
        <w:rPr>
          <w:rFonts w:ascii="Minion Pro" w:hAnsi="Minion Pro" w:cs="Minion Pro"/>
          <w:lang w:val="en-US"/>
        </w:rPr>
        <w:t xml:space="preserve"> </w:t>
      </w:r>
    </w:p>
    <w:p w:rsidR="00E356C4" w:rsidRDefault="00E356C4"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r w:rsidR="002E7909" w:rsidRPr="002E7909">
        <w:rPr>
          <w:rFonts w:ascii="Minion Pro" w:hAnsi="Minion Pro" w:cs="Minion Pro"/>
          <w:lang w:val="en-US"/>
        </w:rPr>
        <w:t xml:space="preserve">Plus saisissant encore l’apparition d’une figure « exemplaire », celle du corps du Christ. Citons ici l’œuvre de Michelangelo, </w:t>
      </w:r>
      <w:r w:rsidR="002E7909" w:rsidRPr="002E7909">
        <w:rPr>
          <w:rFonts w:ascii="Minion Pro" w:hAnsi="Minion Pro" w:cs="Minion Pro"/>
          <w:i/>
          <w:iCs/>
          <w:lang w:val="en-US"/>
        </w:rPr>
        <w:t>Il Cristo redentore</w:t>
      </w:r>
      <w:r w:rsidR="002E7909" w:rsidRPr="002E7909">
        <w:rPr>
          <w:rFonts w:ascii="Minion Pro" w:hAnsi="Minion Pro" w:cs="Minion Pro"/>
          <w:lang w:val="en-US"/>
        </w:rPr>
        <w:t>, 1514</w:t>
      </w:r>
      <w:r w:rsidR="00C47016">
        <w:rPr>
          <w:rStyle w:val="FootnoteReference"/>
          <w:rFonts w:ascii="Minion Pro" w:hAnsi="Minion Pro" w:cs="Minion Pro"/>
          <w:lang w:val="en-US"/>
        </w:rPr>
        <w:footnoteReference w:id="14"/>
      </w:r>
      <w:r w:rsidR="002E7909" w:rsidRPr="002E7909">
        <w:rPr>
          <w:rFonts w:ascii="Minion Pro" w:hAnsi="Minion Pro" w:cs="Minion Pro"/>
          <w:lang w:val="en-US"/>
        </w:rPr>
        <w:t xml:space="preserve"> dont on connaît deux versions, l’une à Rome </w:t>
      </w:r>
      <w:r w:rsidR="009F3372">
        <w:rPr>
          <w:rFonts w:ascii="Minion Pro" w:hAnsi="Minion Pro" w:cs="Minion Pro"/>
          <w:lang w:val="en-US"/>
        </w:rPr>
        <w:t>dont</w:t>
      </w:r>
      <w:r w:rsidR="002E7909" w:rsidRPr="002E7909">
        <w:rPr>
          <w:rFonts w:ascii="Minion Pro" w:hAnsi="Minion Pro" w:cs="Minion Pro"/>
          <w:lang w:val="en-US"/>
        </w:rPr>
        <w:t xml:space="preserve"> le sexe </w:t>
      </w:r>
      <w:r w:rsidR="009A2CB0">
        <w:rPr>
          <w:rFonts w:ascii="Minion Pro" w:hAnsi="Minion Pro" w:cs="Minion Pro"/>
          <w:lang w:val="en-US"/>
        </w:rPr>
        <w:t xml:space="preserve">est </w:t>
      </w:r>
      <w:r w:rsidR="002E7909" w:rsidRPr="002E7909">
        <w:rPr>
          <w:rFonts w:ascii="Minion Pro" w:hAnsi="Minion Pro" w:cs="Minion Pro"/>
          <w:lang w:val="en-US"/>
        </w:rPr>
        <w:t xml:space="preserve">recouvert d’un périzome </w:t>
      </w:r>
      <w:r w:rsidR="009A2CB0">
        <w:rPr>
          <w:rFonts w:ascii="Minion Pro" w:hAnsi="Minion Pro" w:cs="Minion Pro"/>
          <w:lang w:val="en-US"/>
        </w:rPr>
        <w:t xml:space="preserve">de bronze </w:t>
      </w:r>
      <w:r w:rsidR="002E7909" w:rsidRPr="002E7909">
        <w:rPr>
          <w:rFonts w:ascii="Minion Pro" w:hAnsi="Minion Pro" w:cs="Minion Pro"/>
          <w:lang w:val="en-US"/>
        </w:rPr>
        <w:t xml:space="preserve">et l’autre à Bassano Romano encore dans sa nudité telle que le contrat </w:t>
      </w:r>
      <w:r w:rsidR="0050237D">
        <w:rPr>
          <w:rFonts w:ascii="Minion Pro" w:hAnsi="Minion Pro" w:cs="Minion Pro"/>
          <w:lang w:val="en-US"/>
        </w:rPr>
        <w:t>le</w:t>
      </w:r>
      <w:r w:rsidR="002E7909" w:rsidRPr="002E7909">
        <w:rPr>
          <w:rFonts w:ascii="Minion Pro" w:hAnsi="Minion Pro" w:cs="Minion Pro"/>
          <w:lang w:val="en-US"/>
        </w:rPr>
        <w:t xml:space="preserve"> demandait</w:t>
      </w:r>
      <w:r w:rsidR="00C47016">
        <w:rPr>
          <w:rStyle w:val="FootnoteReference"/>
          <w:rFonts w:ascii="Minion Pro" w:hAnsi="Minion Pro" w:cs="Minion Pro"/>
          <w:lang w:val="en-US"/>
        </w:rPr>
        <w:footnoteReference w:id="15"/>
      </w:r>
      <w:r w:rsidR="002E7909" w:rsidRPr="002E7909">
        <w:rPr>
          <w:rFonts w:ascii="Minion Pro" w:hAnsi="Minion Pro" w:cs="Minion Pro"/>
          <w:lang w:val="en-US"/>
        </w:rPr>
        <w:t xml:space="preserve">. La sculpture est exemplaire en ce sens qu’elle est l’affirmation d’un corps masculin parfaitement musclé et en pleine puissance, avec un sexe de petite taille (pour la sculpture de Bassano Romano mais on peut présumer de la même chose pour celle de Rome) et </w:t>
      </w:r>
      <w:r w:rsidR="00C47016">
        <w:rPr>
          <w:rFonts w:ascii="Minion Pro" w:hAnsi="Minion Pro" w:cs="Minion Pro"/>
          <w:lang w:val="en-US"/>
        </w:rPr>
        <w:t xml:space="preserve">une </w:t>
      </w:r>
      <w:r w:rsidR="002E7909" w:rsidRPr="002E7909">
        <w:rPr>
          <w:rFonts w:ascii="Minion Pro" w:hAnsi="Minion Pro" w:cs="Minion Pro"/>
          <w:lang w:val="en-US"/>
        </w:rPr>
        <w:t xml:space="preserve">attitude d’une singulière présence : le corps doit être à la fois la représentation complexe et complète de la gouvernance, de la glorification de la gouvernance, </w:t>
      </w:r>
      <w:r w:rsidR="009A2CB0">
        <w:rPr>
          <w:rFonts w:ascii="Minion Pro" w:hAnsi="Minion Pro" w:cs="Minion Pro"/>
          <w:lang w:val="en-US"/>
        </w:rPr>
        <w:t xml:space="preserve">de la rédemption, </w:t>
      </w:r>
      <w:r w:rsidR="002E7909" w:rsidRPr="002E7909">
        <w:rPr>
          <w:rFonts w:ascii="Minion Pro" w:hAnsi="Minion Pro" w:cs="Minion Pro"/>
          <w:lang w:val="en-US"/>
        </w:rPr>
        <w:t>de la puissance</w:t>
      </w:r>
      <w:r w:rsidR="009A2CB0">
        <w:rPr>
          <w:rFonts w:ascii="Minion Pro" w:hAnsi="Minion Pro" w:cs="Minion Pro"/>
          <w:lang w:val="en-US"/>
        </w:rPr>
        <w:t>, de l'amour</w:t>
      </w:r>
      <w:r w:rsidR="002E7909" w:rsidRPr="002E7909">
        <w:rPr>
          <w:rFonts w:ascii="Minion Pro" w:hAnsi="Minion Pro" w:cs="Minion Pro"/>
          <w:lang w:val="en-US"/>
        </w:rPr>
        <w:t xml:space="preserve"> et du désir infini. C’est ce que le corps masculin représente dans la continuité d’une réduction de la taille des sexes et d’une augmentation de l’effectivité des gestes et des usages</w:t>
      </w:r>
      <w:r w:rsidR="009A2CB0">
        <w:rPr>
          <w:rFonts w:ascii="Minion Pro" w:hAnsi="Minion Pro" w:cs="Minion Pro"/>
          <w:lang w:val="en-US"/>
        </w:rPr>
        <w:t xml:space="preserve"> (</w:t>
      </w:r>
      <w:r w:rsidR="009A2CB0">
        <w:rPr>
          <w:rFonts w:ascii="Minion Pro" w:hAnsi="Minion Pro" w:cs="Minion Pro"/>
          <w:i/>
          <w:lang w:val="en-US"/>
        </w:rPr>
        <w:t>quell'attitudine</w:t>
      </w:r>
      <w:r w:rsidR="009A2CB0">
        <w:rPr>
          <w:rFonts w:ascii="Minion Pro" w:hAnsi="Minion Pro" w:cs="Minion Pro"/>
          <w:lang w:val="en-US"/>
        </w:rPr>
        <w:t xml:space="preserve"> dont parle le contrat)</w:t>
      </w:r>
      <w:r w:rsidR="002E7909" w:rsidRPr="002E7909">
        <w:rPr>
          <w:rFonts w:ascii="Minion Pro" w:hAnsi="Minion Pro" w:cs="Minion Pro"/>
          <w:lang w:val="en-US"/>
        </w:rPr>
        <w:t>. De quoi s’agit-il ? D’a</w:t>
      </w:r>
      <w:r w:rsidR="00C47016">
        <w:rPr>
          <w:rFonts w:ascii="Minion Pro" w:hAnsi="Minion Pro" w:cs="Minion Pro"/>
          <w:lang w:val="en-US"/>
        </w:rPr>
        <w:t>bord les usages : le corps d’un trentenaire</w:t>
      </w:r>
      <w:r w:rsidR="002E7909" w:rsidRPr="002E7909">
        <w:rPr>
          <w:rFonts w:ascii="Minion Pro" w:hAnsi="Minion Pro" w:cs="Minion Pro"/>
          <w:lang w:val="en-US"/>
        </w:rPr>
        <w:t xml:space="preserve"> athlétique, les détails de la musculature, </w:t>
      </w:r>
      <w:r w:rsidR="000A242C">
        <w:rPr>
          <w:rFonts w:ascii="Minion Pro" w:hAnsi="Minion Pro" w:cs="Minion Pro"/>
          <w:lang w:val="en-US"/>
        </w:rPr>
        <w:t xml:space="preserve">la cambrure, le dos, </w:t>
      </w:r>
      <w:r w:rsidR="002E7909" w:rsidRPr="002E7909">
        <w:rPr>
          <w:rFonts w:ascii="Minion Pro" w:hAnsi="Minion Pro" w:cs="Minion Pro"/>
          <w:lang w:val="en-US"/>
        </w:rPr>
        <w:t>les très grands doigts, les cheveux bouclés longs et la barbe. Puis les gestes : l</w:t>
      </w:r>
      <w:r w:rsidR="00C47016">
        <w:rPr>
          <w:rFonts w:ascii="Minion Pro" w:hAnsi="Minion Pro" w:cs="Minion Pro"/>
          <w:lang w:val="en-US"/>
        </w:rPr>
        <w:t xml:space="preserve">a manière </w:t>
      </w:r>
      <w:r w:rsidR="009A2CB0">
        <w:rPr>
          <w:rFonts w:ascii="Minion Pro" w:hAnsi="Minion Pro" w:cs="Minion Pro"/>
          <w:lang w:val="en-US"/>
        </w:rPr>
        <w:t>de</w:t>
      </w:r>
      <w:r w:rsidR="00C47016">
        <w:rPr>
          <w:rFonts w:ascii="Minion Pro" w:hAnsi="Minion Pro" w:cs="Minion Pro"/>
          <w:lang w:val="en-US"/>
        </w:rPr>
        <w:t xml:space="preserve"> </w:t>
      </w:r>
      <w:r w:rsidR="009A2CB0">
        <w:rPr>
          <w:rFonts w:ascii="Minion Pro" w:hAnsi="Minion Pro" w:cs="Minion Pro"/>
          <w:lang w:val="en-US"/>
        </w:rPr>
        <w:t>se</w:t>
      </w:r>
      <w:r w:rsidR="00C47016">
        <w:rPr>
          <w:rFonts w:ascii="Minion Pro" w:hAnsi="Minion Pro" w:cs="Minion Pro"/>
          <w:lang w:val="en-US"/>
        </w:rPr>
        <w:t xml:space="preserve"> tenir à la croix</w:t>
      </w:r>
      <w:r w:rsidR="002E7909" w:rsidRPr="002E7909">
        <w:rPr>
          <w:rFonts w:ascii="Minion Pro" w:hAnsi="Minion Pro" w:cs="Minion Pro"/>
          <w:lang w:val="en-US"/>
        </w:rPr>
        <w:t xml:space="preserve"> comme à un bâton, la main sur l’éponge, la main qui retient un tissu ou un vêtement, le visage qui </w:t>
      </w:r>
      <w:r w:rsidR="00C47016">
        <w:rPr>
          <w:rFonts w:ascii="Minion Pro" w:hAnsi="Minion Pro" w:cs="Minion Pro"/>
          <w:lang w:val="en-US"/>
        </w:rPr>
        <w:t xml:space="preserve">se </w:t>
      </w:r>
      <w:r w:rsidR="002E7909" w:rsidRPr="002E7909">
        <w:rPr>
          <w:rFonts w:ascii="Minion Pro" w:hAnsi="Minion Pro" w:cs="Minion Pro"/>
          <w:lang w:val="en-US"/>
        </w:rPr>
        <w:t>détourne de la croix, la tension du cou, l’index de la main droite, etc.</w:t>
      </w:r>
      <w:r w:rsidR="000A242C">
        <w:rPr>
          <w:rFonts w:ascii="Minion Pro" w:hAnsi="Minion Pro" w:cs="Minion Pro"/>
          <w:lang w:val="en-US"/>
        </w:rPr>
        <w:t>, et jusqu'à cette veine noire comme une trainée de larmes pour la version de Bassano Romano.</w:t>
      </w:r>
      <w:r w:rsidR="002E7909" w:rsidRPr="002E7909">
        <w:rPr>
          <w:rFonts w:ascii="Minion Pro" w:hAnsi="Minion Pro" w:cs="Minion Pro"/>
          <w:lang w:val="en-US"/>
        </w:rPr>
        <w:t xml:space="preserve"> Tous ces usages et gestes sont à </w:t>
      </w:r>
      <w:r w:rsidR="00C47016">
        <w:rPr>
          <w:rFonts w:ascii="Minion Pro" w:hAnsi="Minion Pro" w:cs="Minion Pro"/>
          <w:lang w:val="en-US"/>
        </w:rPr>
        <w:t>l</w:t>
      </w:r>
      <w:r w:rsidR="002E7909" w:rsidRPr="002E7909">
        <w:rPr>
          <w:rFonts w:ascii="Minion Pro" w:hAnsi="Minion Pro" w:cs="Minion Pro"/>
          <w:lang w:val="en-US"/>
        </w:rPr>
        <w:t>a fois symboliques et politiques bien sûr</w:t>
      </w:r>
      <w:r w:rsidR="009A2CB0">
        <w:rPr>
          <w:rFonts w:ascii="Minion Pro" w:hAnsi="Minion Pro" w:cs="Minion Pro"/>
          <w:lang w:val="en-US"/>
        </w:rPr>
        <w:t>,</w:t>
      </w:r>
      <w:r w:rsidR="002E7909" w:rsidRPr="002E7909">
        <w:rPr>
          <w:rFonts w:ascii="Minion Pro" w:hAnsi="Minion Pro" w:cs="Minion Pro"/>
          <w:lang w:val="en-US"/>
        </w:rPr>
        <w:t xml:space="preserve"> mais ils </w:t>
      </w:r>
      <w:r w:rsidR="00C47016">
        <w:rPr>
          <w:rFonts w:ascii="Minion Pro" w:hAnsi="Minion Pro" w:cs="Minion Pro"/>
          <w:lang w:val="en-US"/>
        </w:rPr>
        <w:t>s</w:t>
      </w:r>
      <w:r w:rsidR="002E7909" w:rsidRPr="002E7909">
        <w:rPr>
          <w:rFonts w:ascii="Minion Pro" w:hAnsi="Minion Pro" w:cs="Minion Pro"/>
          <w:lang w:val="en-US"/>
        </w:rPr>
        <w:t xml:space="preserve">ont aussi une évidente construction d’une représentation du corps homoérotique. </w:t>
      </w:r>
      <w:r w:rsidR="002E7909" w:rsidRPr="002E7909">
        <w:rPr>
          <w:rFonts w:ascii="Minion Pro" w:hAnsi="Minion Pro" w:cs="Minion Pro"/>
          <w:i/>
          <w:iCs/>
          <w:lang w:val="en-US"/>
        </w:rPr>
        <w:t>Il risorto</w:t>
      </w:r>
      <w:r w:rsidR="002E7909" w:rsidRPr="002E7909">
        <w:rPr>
          <w:rFonts w:ascii="Minion Pro" w:hAnsi="Minion Pro" w:cs="Minion Pro"/>
          <w:lang w:val="en-US"/>
        </w:rPr>
        <w:t>, comme on le nomme plus familièrement, est l’incarnation nécessairement politique du désir et de la puissance du désir</w:t>
      </w:r>
      <w:r w:rsidR="00C47016">
        <w:rPr>
          <w:rStyle w:val="FootnoteReference"/>
          <w:rFonts w:ascii="Minion Pro" w:hAnsi="Minion Pro" w:cs="Minion Pro"/>
          <w:lang w:val="en-US"/>
        </w:rPr>
        <w:footnoteReference w:id="16"/>
      </w:r>
      <w:r w:rsidR="002E7909" w:rsidRPr="002E7909">
        <w:rPr>
          <w:rFonts w:ascii="Minion Pro" w:hAnsi="Minion Pro" w:cs="Minion Pro"/>
          <w:lang w:val="en-US"/>
        </w:rPr>
        <w:t xml:space="preserve">. </w:t>
      </w:r>
      <w:r w:rsidR="000A242C">
        <w:rPr>
          <w:rFonts w:ascii="Minion Pro" w:hAnsi="Minion Pro" w:cs="Minion Pro"/>
          <w:lang w:val="en-US"/>
        </w:rPr>
        <w:t>Cela signifie que le corps masculin, non pas pour son caratère sexuel, mais érotique, devient la représentation de la puissance de rédemption et donc d'une forme de désir pour l'humanité. D'ailleurs en</w:t>
      </w:r>
      <w:r>
        <w:rPr>
          <w:rFonts w:ascii="Minion Pro" w:hAnsi="Minion Pro" w:cs="Minion Pro"/>
          <w:lang w:val="en-US"/>
        </w:rPr>
        <w:t>tre</w:t>
      </w:r>
      <w:r w:rsidR="000A242C">
        <w:rPr>
          <w:rFonts w:ascii="Minion Pro" w:hAnsi="Minion Pro" w:cs="Minion Pro"/>
          <w:lang w:val="en-US"/>
        </w:rPr>
        <w:t xml:space="preserve"> les deux versions, la seconde</w:t>
      </w:r>
      <w:r>
        <w:rPr>
          <w:rFonts w:ascii="Minion Pro" w:hAnsi="Minion Pro" w:cs="Minion Pro"/>
          <w:lang w:val="en-US"/>
        </w:rPr>
        <w:t xml:space="preserve"> (celle de Santa Maria sopra Minerva) montre un visage encore plus doux et plus juvénil, comme si le sculpteur lui-même, dans l'acte de rép</w:t>
      </w:r>
      <w:r w:rsidR="006A4E21">
        <w:rPr>
          <w:rFonts w:ascii="Minion Pro" w:hAnsi="Minion Pro" w:cs="Minion Pro"/>
          <w:lang w:val="en-US"/>
        </w:rPr>
        <w:t>éti</w:t>
      </w:r>
      <w:r>
        <w:rPr>
          <w:rFonts w:ascii="Minion Pro" w:hAnsi="Minion Pro" w:cs="Minion Pro"/>
          <w:lang w:val="en-US"/>
        </w:rPr>
        <w:t xml:space="preserve">tion avait été saisi d'une charge plus grande encore de cette figure de la rédemption, presque adolescente pour le visage et cette barbe, mais très adulte pour ce corps d'athlète. </w:t>
      </w:r>
    </w:p>
    <w:p w:rsidR="002E7909" w:rsidRPr="002E7909" w:rsidRDefault="00E356C4" w:rsidP="002E7909">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t>Autre exemple encore :</w:t>
      </w:r>
      <w:r w:rsidR="002E7909" w:rsidRPr="002E7909">
        <w:rPr>
          <w:rFonts w:ascii="Minion Pro" w:hAnsi="Minion Pro" w:cs="Minion Pro"/>
          <w:lang w:val="en-US"/>
        </w:rPr>
        <w:t xml:space="preserve"> deux portraits saisissants réalisés par Jacopo da Pontormo autour des années 1529, 1530</w:t>
      </w:r>
      <w:r w:rsidR="00C47016">
        <w:rPr>
          <w:rStyle w:val="FootnoteReference"/>
          <w:rFonts w:ascii="Minion Pro" w:hAnsi="Minion Pro" w:cs="Minion Pro"/>
          <w:lang w:val="en-US"/>
        </w:rPr>
        <w:footnoteReference w:id="17"/>
      </w:r>
      <w:r w:rsidR="002E7909" w:rsidRPr="002E7909">
        <w:rPr>
          <w:rFonts w:ascii="Minion Pro" w:hAnsi="Minion Pro" w:cs="Minion Pro"/>
          <w:lang w:val="en-US"/>
        </w:rPr>
        <w:t xml:space="preserve">. Deux jeunes hommes, l’un en costume de hallebardier, l’autre vêtu d’une saie noire. N’insistons pas sur les détailles laissons </w:t>
      </w:r>
      <w:r w:rsidR="00C47016">
        <w:rPr>
          <w:rFonts w:ascii="Minion Pro" w:hAnsi="Minion Pro" w:cs="Minion Pro"/>
          <w:lang w:val="en-US"/>
        </w:rPr>
        <w:t xml:space="preserve">les </w:t>
      </w:r>
      <w:r w:rsidR="002E7909" w:rsidRPr="002E7909">
        <w:rPr>
          <w:rFonts w:ascii="Minion Pro" w:hAnsi="Minion Pro" w:cs="Minion Pro"/>
          <w:lang w:val="en-US"/>
        </w:rPr>
        <w:t xml:space="preserve">observer attentivement. Ici encore les gestes, les doigts, les mains, les regards, les </w:t>
      </w:r>
      <w:r w:rsidR="00C47016">
        <w:rPr>
          <w:rFonts w:ascii="Minion Pro" w:hAnsi="Minion Pro" w:cs="Minion Pro"/>
          <w:lang w:val="en-US"/>
        </w:rPr>
        <w:t>lèvres : peu de choses en somme</w:t>
      </w:r>
      <w:r w:rsidR="002E7909" w:rsidRPr="002E7909">
        <w:rPr>
          <w:rFonts w:ascii="Minion Pro" w:hAnsi="Minion Pro" w:cs="Minion Pro"/>
          <w:lang w:val="en-US"/>
        </w:rPr>
        <w:t>, mais juste suffisamment pour indiquer cette fascination érotique et homoérotique pour la présence</w:t>
      </w:r>
      <w:r>
        <w:rPr>
          <w:rFonts w:ascii="Minion Pro" w:hAnsi="Minion Pro" w:cs="Minion Pro"/>
          <w:lang w:val="en-US"/>
        </w:rPr>
        <w:t xml:space="preserve"> des corps</w:t>
      </w:r>
      <w:r w:rsidR="002E7909" w:rsidRPr="002E7909">
        <w:rPr>
          <w:rFonts w:ascii="Minion Pro" w:hAnsi="Minion Pro" w:cs="Minion Pro"/>
          <w:lang w:val="en-US"/>
        </w:rPr>
        <w:t>, la puissance</w:t>
      </w:r>
      <w:r>
        <w:rPr>
          <w:rFonts w:ascii="Minion Pro" w:hAnsi="Minion Pro" w:cs="Minion Pro"/>
          <w:lang w:val="en-US"/>
        </w:rPr>
        <w:t xml:space="preserve"> des visages</w:t>
      </w:r>
      <w:r w:rsidR="002E7909" w:rsidRPr="002E7909">
        <w:rPr>
          <w:rFonts w:ascii="Minion Pro" w:hAnsi="Minion Pro" w:cs="Minion Pro"/>
          <w:lang w:val="en-US"/>
        </w:rPr>
        <w:t xml:space="preserve"> et la gouvernance</w:t>
      </w:r>
      <w:r>
        <w:rPr>
          <w:rFonts w:ascii="Minion Pro" w:hAnsi="Minion Pro" w:cs="Minion Pro"/>
          <w:lang w:val="en-US"/>
        </w:rPr>
        <w:t xml:space="preserve"> saisie dans les postures</w:t>
      </w:r>
      <w:r w:rsidR="002E7909" w:rsidRPr="002E7909">
        <w:rPr>
          <w:rFonts w:ascii="Minion Pro" w:hAnsi="Minion Pro" w:cs="Minion Pro"/>
          <w:lang w:val="en-US"/>
        </w:rPr>
        <w:t>. La réduction antique et sculpturale des sexes – ici transfigurée par les braguettes</w:t>
      </w:r>
      <w:r w:rsidR="00C47016">
        <w:rPr>
          <w:rStyle w:val="FootnoteReference"/>
          <w:rFonts w:ascii="Minion Pro" w:hAnsi="Minion Pro" w:cs="Minion Pro"/>
          <w:lang w:val="en-US"/>
        </w:rPr>
        <w:footnoteReference w:id="18"/>
      </w:r>
      <w:r w:rsidR="002E7909" w:rsidRPr="002E7909">
        <w:rPr>
          <w:rFonts w:ascii="Minion Pro" w:hAnsi="Minion Pro" w:cs="Minion Pro"/>
          <w:lang w:val="en-US"/>
        </w:rPr>
        <w:t xml:space="preserve"> – a été le lieu propice pour déplacer la puissance de la sexualité à l’ordre, qu’il faut entendre à la fois comme autorité donnée ou prise par un être sur un autre être (à sa</w:t>
      </w:r>
      <w:r w:rsidR="00C47016">
        <w:rPr>
          <w:rFonts w:ascii="Minion Pro" w:hAnsi="Minion Pro" w:cs="Minion Pro"/>
          <w:lang w:val="en-US"/>
        </w:rPr>
        <w:t>voir la gouvernance, qui puis</w:t>
      </w:r>
      <w:r w:rsidR="002E7909" w:rsidRPr="002E7909">
        <w:rPr>
          <w:rFonts w:ascii="Minion Pro" w:hAnsi="Minion Pro" w:cs="Minion Pro"/>
          <w:lang w:val="en-US"/>
        </w:rPr>
        <w:t xml:space="preserve">qu’elle est injustifiable a systématiquement besoin de la fabrique de sa propre image comme désir) mais aussi comme désignation des gestes et des modes de regards de ces gestes. Se trouvent alors attachés, intimement, désir et puissance, sans que nous puissions faire autrement que d’en éprouver ce que nous ne cessons de nommer érotisme. Or </w:t>
      </w:r>
      <w:r w:rsidR="002E7909" w:rsidRPr="002E7909">
        <w:rPr>
          <w:rFonts w:ascii="Minion Pro" w:hAnsi="Minion Pro" w:cs="Minion Pro"/>
          <w:i/>
          <w:iCs/>
          <w:lang w:val="en-US"/>
        </w:rPr>
        <w:t>erôs</w:t>
      </w:r>
      <w:r w:rsidR="002E7909" w:rsidRPr="002E7909">
        <w:rPr>
          <w:rFonts w:ascii="Minion Pro" w:hAnsi="Minion Pro" w:cs="Minion Pro"/>
          <w:lang w:val="en-US"/>
        </w:rPr>
        <w:t xml:space="preserve"> en grec est le désir, il est la non consommation, mais surtout le substantif provient d’un </w:t>
      </w:r>
      <w:r w:rsidR="002E7909" w:rsidRPr="002E7909">
        <w:rPr>
          <w:rFonts w:ascii="Minion Pro" w:hAnsi="Minion Pro" w:cs="Minion Pro"/>
          <w:i/>
          <w:iCs/>
          <w:lang w:val="en-US"/>
        </w:rPr>
        <w:t xml:space="preserve">érôè </w:t>
      </w:r>
      <w:r w:rsidR="002E7909" w:rsidRPr="002E7909">
        <w:rPr>
          <w:rFonts w:ascii="Minion Pro" w:hAnsi="Minion Pro" w:cs="Minion Pro"/>
          <w:lang w:val="en-US"/>
        </w:rPr>
        <w:t>qui signifie le mouvement</w:t>
      </w:r>
      <w:r w:rsidR="00407C2A">
        <w:rPr>
          <w:rStyle w:val="FootnoteReference"/>
          <w:rFonts w:ascii="Minion Pro" w:hAnsi="Minion Pro" w:cs="Minion Pro"/>
          <w:lang w:val="en-US"/>
        </w:rPr>
        <w:footnoteReference w:id="19"/>
      </w:r>
      <w:r w:rsidR="00FE319E">
        <w:rPr>
          <w:rFonts w:ascii="Minion Pro" w:hAnsi="Minion Pro" w:cs="Minion Pro"/>
          <w:lang w:val="en-US"/>
        </w:rPr>
        <w:t>. E</w:t>
      </w:r>
      <w:r w:rsidR="002E7909" w:rsidRPr="002E7909">
        <w:rPr>
          <w:rFonts w:ascii="Minion Pro" w:hAnsi="Minion Pro" w:cs="Minion Pro"/>
          <w:lang w:val="en-US"/>
        </w:rPr>
        <w:t xml:space="preserve">n ce sens </w:t>
      </w:r>
      <w:r w:rsidR="00FE319E">
        <w:rPr>
          <w:rFonts w:ascii="Minion Pro" w:hAnsi="Minion Pro" w:cs="Minion Pro"/>
          <w:lang w:val="en-US"/>
        </w:rPr>
        <w:t xml:space="preserve">le </w:t>
      </w:r>
      <w:r w:rsidR="002E7909" w:rsidRPr="002E7909">
        <w:rPr>
          <w:rFonts w:ascii="Minion Pro" w:hAnsi="Minion Pro" w:cs="Minion Pro"/>
          <w:lang w:val="en-US"/>
        </w:rPr>
        <w:t>désir est un incessant mouvement de non consommation mais d’adhésion infinie à la figure regardée. D’autre part si l’érotisme est une affaire de mouvement alors il s’agit bien aussi de comprendre que la question des gestes est essentielle. Or notre hypothèse est que la conduite, dans la modernité du XVI</w:t>
      </w:r>
      <w:r w:rsidR="002E7909" w:rsidRPr="00407C2A">
        <w:rPr>
          <w:rFonts w:ascii="Minion Pro" w:hAnsi="Minion Pro" w:cs="Minion Pro"/>
          <w:vertAlign w:val="superscript"/>
          <w:lang w:val="en-US"/>
        </w:rPr>
        <w:t>e</w:t>
      </w:r>
      <w:r w:rsidR="002E7909" w:rsidRPr="002E7909">
        <w:rPr>
          <w:rFonts w:ascii="Minion Pro" w:hAnsi="Minion Pro" w:cs="Minion Pro"/>
          <w:lang w:val="en-US"/>
        </w:rPr>
        <w:t xml:space="preserve"> siècle, de l’attitude antique de la réduction de la taille des sexes en vue d’une position morale du désir, a conduit de façon singulière à ce que nous nommons le </w:t>
      </w:r>
      <w:r w:rsidR="002E7909" w:rsidRPr="002E7909">
        <w:rPr>
          <w:rFonts w:ascii="Minion Pro" w:hAnsi="Minion Pro" w:cs="Minion Pro"/>
          <w:i/>
          <w:iCs/>
          <w:lang w:val="en-US"/>
        </w:rPr>
        <w:t xml:space="preserve">maniérisme. </w:t>
      </w:r>
      <w:r w:rsidR="002E7909" w:rsidRPr="002E7909">
        <w:rPr>
          <w:rFonts w:ascii="Minion Pro" w:hAnsi="Minion Pro" w:cs="Minion Pro"/>
          <w:lang w:val="en-US"/>
        </w:rPr>
        <w:t>Deux exemples encore : d’abord la fresque réalisée par Pontormo à Poggio a Caiano entre 1519 et 1521 et la représentation d’un garçon</w:t>
      </w:r>
      <w:r w:rsidR="00FE319E">
        <w:rPr>
          <w:rFonts w:ascii="Minion Pro" w:hAnsi="Minion Pro" w:cs="Minion Pro"/>
          <w:lang w:val="en-US"/>
        </w:rPr>
        <w:t xml:space="preserve"> assis sur un muret et tendant le bras gauche à la fois comme il s'étendait au moment du réveil ou comme s'il tentait d'attraper une branche de laurier,</w:t>
      </w:r>
      <w:r w:rsidR="002E7909" w:rsidRPr="002E7909">
        <w:rPr>
          <w:rFonts w:ascii="Minion Pro" w:hAnsi="Minion Pro" w:cs="Minion Pro"/>
          <w:lang w:val="en-US"/>
        </w:rPr>
        <w:t xml:space="preserve"> accompagnant Vertumne, puis l’un des dessins préparatoires</w:t>
      </w:r>
      <w:r w:rsidR="00FE319E">
        <w:rPr>
          <w:rFonts w:ascii="Minion Pro" w:hAnsi="Minion Pro" w:cs="Minion Pro"/>
          <w:lang w:val="en-US"/>
        </w:rPr>
        <w:t>, représentant un garçon assis sur un muret les jambes croisées,</w:t>
      </w:r>
      <w:r w:rsidR="002E7909" w:rsidRPr="002E7909">
        <w:rPr>
          <w:rFonts w:ascii="Minion Pro" w:hAnsi="Minion Pro" w:cs="Minion Pro"/>
          <w:lang w:val="en-US"/>
        </w:rPr>
        <w:t xml:space="preserve"> daté de 1520</w:t>
      </w:r>
      <w:r w:rsidR="00407C2A">
        <w:rPr>
          <w:rStyle w:val="FootnoteReference"/>
          <w:rFonts w:ascii="Minion Pro" w:hAnsi="Minion Pro" w:cs="Minion Pro"/>
          <w:lang w:val="en-US"/>
        </w:rPr>
        <w:footnoteReference w:id="20"/>
      </w:r>
      <w:r w:rsidR="002E7909" w:rsidRPr="002E7909">
        <w:rPr>
          <w:rFonts w:ascii="Minion Pro" w:hAnsi="Minion Pro" w:cs="Minion Pro"/>
          <w:lang w:val="en-US"/>
        </w:rPr>
        <w:t xml:space="preserve">. Les </w:t>
      </w:r>
      <w:r w:rsidR="002E7909" w:rsidRPr="002E7909">
        <w:rPr>
          <w:rFonts w:ascii="Minion Pro" w:hAnsi="Minion Pro" w:cs="Minion Pro"/>
          <w:i/>
          <w:iCs/>
          <w:lang w:val="en-US"/>
        </w:rPr>
        <w:t xml:space="preserve">ignudi </w:t>
      </w:r>
      <w:r w:rsidR="002E7909" w:rsidRPr="002E7909">
        <w:rPr>
          <w:rFonts w:ascii="Minion Pro" w:hAnsi="Minion Pro" w:cs="Minion Pro"/>
          <w:lang w:val="en-US"/>
        </w:rPr>
        <w:t xml:space="preserve">de la fresque et du dessin sont ici une manière de contredire matériellement l’ensemble du propos mais pour en affirmer, </w:t>
      </w:r>
      <w:r w:rsidR="00FE319E">
        <w:rPr>
          <w:rFonts w:ascii="Minion Pro" w:hAnsi="Minion Pro" w:cs="Minion Pro"/>
          <w:lang w:val="en-US"/>
        </w:rPr>
        <w:t>paradoxalement</w:t>
      </w:r>
      <w:r w:rsidR="002E7909" w:rsidRPr="002E7909">
        <w:rPr>
          <w:rFonts w:ascii="Minion Pro" w:hAnsi="Minion Pro" w:cs="Minion Pro"/>
          <w:lang w:val="en-US"/>
        </w:rPr>
        <w:t xml:space="preserve">, </w:t>
      </w:r>
      <w:r w:rsidR="00FE319E">
        <w:rPr>
          <w:rFonts w:ascii="Minion Pro" w:hAnsi="Minion Pro" w:cs="Minion Pro"/>
          <w:lang w:val="en-US"/>
        </w:rPr>
        <w:t xml:space="preserve">l'hypothèse et </w:t>
      </w:r>
      <w:r w:rsidR="002E7909" w:rsidRPr="002E7909">
        <w:rPr>
          <w:rFonts w:ascii="Minion Pro" w:hAnsi="Minion Pro" w:cs="Minion Pro"/>
          <w:lang w:val="en-US"/>
        </w:rPr>
        <w:t>le contenu. L’</w:t>
      </w:r>
      <w:r w:rsidR="002E7909" w:rsidRPr="002E7909">
        <w:rPr>
          <w:rFonts w:ascii="Minion Pro" w:hAnsi="Minion Pro" w:cs="Minion Pro"/>
          <w:i/>
          <w:iCs/>
          <w:lang w:val="en-US"/>
        </w:rPr>
        <w:t xml:space="preserve">ignudo </w:t>
      </w:r>
      <w:r w:rsidR="002E7909" w:rsidRPr="002E7909">
        <w:rPr>
          <w:rFonts w:ascii="Minion Pro" w:hAnsi="Minion Pro" w:cs="Minion Pro"/>
          <w:lang w:val="en-US"/>
        </w:rPr>
        <w:t xml:space="preserve">de la fresque présente un sexe « normal » tandis qu’il y a pour le peintre l’affirmation d’une puissance dans la position et l’exposition, cette fois, de la sexualité : sans doute pour des raisons liées à la dimension privée des fresques mais surtout liées à une question de la représentation de la puissance du vivant et </w:t>
      </w:r>
      <w:r w:rsidR="00407C2A">
        <w:rPr>
          <w:rFonts w:ascii="Minion Pro" w:hAnsi="Minion Pro" w:cs="Minion Pro"/>
          <w:lang w:val="en-US"/>
        </w:rPr>
        <w:t xml:space="preserve">de </w:t>
      </w:r>
      <w:r w:rsidR="002E7909" w:rsidRPr="002E7909">
        <w:rPr>
          <w:rFonts w:ascii="Minion Pro" w:hAnsi="Minion Pro" w:cs="Minion Pro"/>
          <w:lang w:val="en-US"/>
        </w:rPr>
        <w:t xml:space="preserve">sa fécondité et à l’affirmation (nous sommes en 1521 et Pontormo n’a que vingt-cinq ans) d’un </w:t>
      </w:r>
      <w:r w:rsidR="002E7909" w:rsidRPr="002E7909">
        <w:rPr>
          <w:rFonts w:ascii="Minion Pro" w:hAnsi="Minion Pro" w:cs="Minion Pro"/>
          <w:i/>
          <w:iCs/>
          <w:lang w:val="en-US"/>
        </w:rPr>
        <w:t xml:space="preserve">tournant </w:t>
      </w:r>
      <w:r w:rsidR="002E7909" w:rsidRPr="002E7909">
        <w:rPr>
          <w:rFonts w:ascii="Minion Pro" w:hAnsi="Minion Pro" w:cs="Minion Pro"/>
          <w:lang w:val="en-US"/>
        </w:rPr>
        <w:t>nécessaire dans les modes de représentation du vivant et du désir. Cette thèse se trouve renforcée par l’étymologie du nom du sujet représenté, Vertumne, qui signifie « tourner », « changer ».</w:t>
      </w:r>
      <w:r w:rsidR="005C2216">
        <w:rPr>
          <w:rFonts w:ascii="Minion Pro" w:hAnsi="Minion Pro" w:cs="Minion Pro"/>
          <w:lang w:val="en-US"/>
        </w:rPr>
        <w:t xml:space="preserve"> Mais si l</w:t>
      </w:r>
      <w:r w:rsidR="00FE319E">
        <w:rPr>
          <w:rFonts w:ascii="Minion Pro" w:hAnsi="Minion Pro" w:cs="Minion Pro"/>
          <w:lang w:val="en-US"/>
        </w:rPr>
        <w:t>a figure ici représente</w:t>
      </w:r>
      <w:r w:rsidR="005C2216">
        <w:rPr>
          <w:rFonts w:ascii="Minion Pro" w:hAnsi="Minion Pro" w:cs="Minion Pro"/>
          <w:lang w:val="en-US"/>
        </w:rPr>
        <w:t xml:space="preserve"> une divinité de la fécondité des sols et de la maturation des fruits, elle se tient à une hauteur suffisante pour que la taille du sexe n'importe pas tant : pourtant ce qui semble essentielle ici est que la figure la plus puissante du vivant ne soit pas en adhésion avec les canons officiels de la représentaiton du corps mais ici ave</w:t>
      </w:r>
      <w:r w:rsidR="006A4E21">
        <w:rPr>
          <w:rFonts w:ascii="Minion Pro" w:hAnsi="Minion Pro" w:cs="Minion Pro"/>
          <w:lang w:val="en-US"/>
        </w:rPr>
        <w:t>c</w:t>
      </w:r>
      <w:r w:rsidR="0050237D">
        <w:rPr>
          <w:rFonts w:ascii="Minion Pro" w:hAnsi="Minion Pro" w:cs="Minion Pro"/>
          <w:lang w:val="en-US"/>
        </w:rPr>
        <w:t xml:space="preserve"> </w:t>
      </w:r>
      <w:r w:rsidR="005C2216">
        <w:rPr>
          <w:rFonts w:ascii="Minion Pro" w:hAnsi="Minion Pro" w:cs="Minion Pro"/>
          <w:lang w:val="en-US"/>
        </w:rPr>
        <w:t>les canons presque privés et intimes de l'érotique et du désir.</w:t>
      </w:r>
      <w:r w:rsidR="002E7909" w:rsidRPr="002E7909">
        <w:rPr>
          <w:rFonts w:ascii="Minion Pro" w:hAnsi="Minion Pro" w:cs="Minion Pro"/>
          <w:lang w:val="en-US"/>
        </w:rPr>
        <w:t xml:space="preserve"> L’</w:t>
      </w:r>
      <w:r w:rsidR="002E7909" w:rsidRPr="002E7909">
        <w:rPr>
          <w:rFonts w:ascii="Minion Pro" w:hAnsi="Minion Pro" w:cs="Minion Pro"/>
          <w:i/>
          <w:iCs/>
          <w:lang w:val="en-US"/>
        </w:rPr>
        <w:t>ignudo</w:t>
      </w:r>
      <w:r w:rsidR="002E7909" w:rsidRPr="002E7909">
        <w:rPr>
          <w:rFonts w:ascii="Minion Pro" w:hAnsi="Minion Pro" w:cs="Minion Pro"/>
          <w:lang w:val="en-US"/>
        </w:rPr>
        <w:t xml:space="preserve"> du dessin préparatoire, dans une autre position, présente un rehaut au crayon noir qui semble à la fois doubler le motif comme un miroir et dessiner un sexe en érection : ici il s’agit d’un dessin préparatoire et donc d’une représentation privée </w:t>
      </w:r>
      <w:r w:rsidR="002E7909" w:rsidRPr="002E7909">
        <w:rPr>
          <w:rFonts w:ascii="Minion Pro" w:hAnsi="Minion Pro" w:cs="Minion Pro"/>
          <w:i/>
          <w:iCs/>
          <w:lang w:val="en-US"/>
        </w:rPr>
        <w:t xml:space="preserve">a priori </w:t>
      </w:r>
      <w:r w:rsidR="002E7909" w:rsidRPr="002E7909">
        <w:rPr>
          <w:rFonts w:ascii="Minion Pro" w:hAnsi="Minion Pro" w:cs="Minion Pro"/>
          <w:lang w:val="en-US"/>
        </w:rPr>
        <w:t xml:space="preserve">non destinée à une exposition publique. Cependant ces deux représentations (officielle et préparatoire) témoignent, semble-t-il, d’une histoire singulière du </w:t>
      </w:r>
      <w:r w:rsidR="002E7909" w:rsidRPr="002E7909">
        <w:rPr>
          <w:rFonts w:ascii="Minion Pro" w:hAnsi="Minion Pro" w:cs="Minion Pro"/>
          <w:i/>
          <w:iCs/>
          <w:lang w:val="en-US"/>
        </w:rPr>
        <w:t xml:space="preserve">mouvement </w:t>
      </w:r>
      <w:r w:rsidR="002E7909" w:rsidRPr="002E7909">
        <w:rPr>
          <w:rFonts w:ascii="Minion Pro" w:hAnsi="Minion Pro" w:cs="Minion Pro"/>
          <w:lang w:val="en-US"/>
        </w:rPr>
        <w:t>incessant entre désir érotique et affirmation de la sexualité</w:t>
      </w:r>
      <w:r w:rsidR="004F70DF">
        <w:rPr>
          <w:rFonts w:ascii="Minion Pro" w:hAnsi="Minion Pro" w:cs="Minion Pro"/>
          <w:lang w:val="en-US"/>
        </w:rPr>
        <w:t xml:space="preserve">. </w:t>
      </w:r>
      <w:r w:rsidR="00B179E8">
        <w:rPr>
          <w:rFonts w:ascii="Minion Pro" w:hAnsi="Minion Pro" w:cs="Minion Pro"/>
          <w:lang w:val="en-US"/>
        </w:rPr>
        <w:t xml:space="preserve">La situation est presque identique pour le célèbre </w:t>
      </w:r>
      <w:r w:rsidR="00B179E8">
        <w:rPr>
          <w:rFonts w:ascii="Minion Pro" w:hAnsi="Minion Pro" w:cs="Minion Pro"/>
          <w:i/>
          <w:lang w:val="en-US"/>
        </w:rPr>
        <w:t>journal</w:t>
      </w:r>
      <w:r w:rsidR="00B179E8">
        <w:rPr>
          <w:rFonts w:ascii="Minion Pro" w:hAnsi="Minion Pro" w:cs="Minion Pro"/>
          <w:lang w:val="en-US"/>
        </w:rPr>
        <w:t xml:space="preserve"> écrit entre janvier 1554 et septembre 1556 qui tente méticuleusement de noter – en vue d'une publication ? – les étapes de la réalisation de la fresque, aujourd'hui perdue de S</w:t>
      </w:r>
      <w:r w:rsidR="00067DFA">
        <w:rPr>
          <w:rFonts w:ascii="Minion Pro" w:hAnsi="Minion Pro" w:cs="Minion Pro"/>
          <w:lang w:val="en-US"/>
        </w:rPr>
        <w:t>an Lorenzo</w:t>
      </w:r>
      <w:r w:rsidR="00B179E8">
        <w:rPr>
          <w:rFonts w:ascii="Minion Pro" w:hAnsi="Minion Pro" w:cs="Minion Pro"/>
          <w:lang w:val="en-US"/>
        </w:rPr>
        <w:t xml:space="preserve"> et son alimentation sans doute pour montrer l</w:t>
      </w:r>
      <w:r w:rsidR="00067DFA">
        <w:rPr>
          <w:rFonts w:ascii="Minion Pro" w:hAnsi="Minion Pro" w:cs="Minion Pro"/>
          <w:lang w:val="en-US"/>
        </w:rPr>
        <w:t>es</w:t>
      </w:r>
      <w:r w:rsidR="00B179E8">
        <w:rPr>
          <w:rFonts w:ascii="Minion Pro" w:hAnsi="Minion Pro" w:cs="Minion Pro"/>
          <w:lang w:val="en-US"/>
        </w:rPr>
        <w:t xml:space="preserve"> condition</w:t>
      </w:r>
      <w:r w:rsidR="00067DFA">
        <w:rPr>
          <w:rFonts w:ascii="Minion Pro" w:hAnsi="Minion Pro" w:cs="Minion Pro"/>
          <w:lang w:val="en-US"/>
        </w:rPr>
        <w:t>s</w:t>
      </w:r>
      <w:r w:rsidR="00B179E8">
        <w:rPr>
          <w:rFonts w:ascii="Minion Pro" w:hAnsi="Minion Pro" w:cs="Minion Pro"/>
          <w:lang w:val="en-US"/>
        </w:rPr>
        <w:t xml:space="preserve"> athlétique</w:t>
      </w:r>
      <w:r w:rsidR="00067DFA">
        <w:rPr>
          <w:rFonts w:ascii="Minion Pro" w:hAnsi="Minion Pro" w:cs="Minion Pro"/>
          <w:lang w:val="en-US"/>
        </w:rPr>
        <w:t>s</w:t>
      </w:r>
      <w:r w:rsidR="00B179E8">
        <w:rPr>
          <w:rFonts w:ascii="Minion Pro" w:hAnsi="Minion Pro" w:cs="Minion Pro"/>
          <w:lang w:val="en-US"/>
        </w:rPr>
        <w:t xml:space="preserve"> de l'artiste</w:t>
      </w:r>
      <w:r w:rsidR="00B179E8">
        <w:rPr>
          <w:rStyle w:val="FootnoteReference"/>
          <w:rFonts w:ascii="Minion Pro" w:hAnsi="Minion Pro" w:cs="Minion Pro"/>
          <w:lang w:val="en-US"/>
        </w:rPr>
        <w:footnoteReference w:id="21"/>
      </w:r>
      <w:r w:rsidR="00067DFA">
        <w:rPr>
          <w:rFonts w:ascii="Minion Pro" w:hAnsi="Minion Pro" w:cs="Minion Pro"/>
          <w:lang w:val="en-US"/>
        </w:rPr>
        <w:t xml:space="preserve"> et divers commentaires sur ses amitiés, ses relations avec son assistant</w:t>
      </w:r>
      <w:r w:rsidR="000C0381">
        <w:rPr>
          <w:rFonts w:ascii="Minion Pro" w:hAnsi="Minion Pro" w:cs="Minion Pro"/>
          <w:lang w:val="en-US"/>
        </w:rPr>
        <w:t xml:space="preserve"> et cette manière de fragmenter chaque partie des corps peints au fur et à mesure de l'avancée du chantier. </w:t>
      </w:r>
      <w:r w:rsidR="004F70DF">
        <w:rPr>
          <w:rFonts w:ascii="Minion Pro" w:hAnsi="Minion Pro" w:cs="Minion Pro"/>
          <w:lang w:val="en-US"/>
        </w:rPr>
        <w:t xml:space="preserve">Mais plus encore, </w:t>
      </w:r>
      <w:r w:rsidR="000C0381">
        <w:rPr>
          <w:rFonts w:ascii="Minion Pro" w:hAnsi="Minion Pro" w:cs="Minion Pro"/>
          <w:lang w:val="en-US"/>
        </w:rPr>
        <w:t>ces modes de représentations te</w:t>
      </w:r>
      <w:r w:rsidR="004F70DF">
        <w:rPr>
          <w:rFonts w:ascii="Minion Pro" w:hAnsi="Minion Pro" w:cs="Minion Pro"/>
          <w:lang w:val="en-US"/>
        </w:rPr>
        <w:t>nte</w:t>
      </w:r>
      <w:r w:rsidR="000C0381">
        <w:rPr>
          <w:rFonts w:ascii="Minion Pro" w:hAnsi="Minion Pro" w:cs="Minion Pro"/>
          <w:lang w:val="en-US"/>
        </w:rPr>
        <w:t>nt</w:t>
      </w:r>
      <w:r w:rsidR="004F70DF">
        <w:rPr>
          <w:rFonts w:ascii="Minion Pro" w:hAnsi="Minion Pro" w:cs="Minion Pro"/>
          <w:lang w:val="en-US"/>
        </w:rPr>
        <w:t xml:space="preserve"> d'indiquer un mouvement double qui consiste à préférer pour cette fin du XV</w:t>
      </w:r>
      <w:r w:rsidR="004F70DF" w:rsidRPr="004F70DF">
        <w:rPr>
          <w:rFonts w:ascii="Minion Pro" w:hAnsi="Minion Pro" w:cs="Minion Pro"/>
          <w:vertAlign w:val="superscript"/>
          <w:lang w:val="en-US"/>
        </w:rPr>
        <w:t>e</w:t>
      </w:r>
      <w:r w:rsidR="004F70DF">
        <w:rPr>
          <w:rFonts w:ascii="Minion Pro" w:hAnsi="Minion Pro" w:cs="Minion Pro"/>
          <w:lang w:val="en-US"/>
        </w:rPr>
        <w:t xml:space="preserve"> et première moitié du XVI</w:t>
      </w:r>
      <w:r w:rsidR="004F70DF" w:rsidRPr="004F70DF">
        <w:rPr>
          <w:rFonts w:ascii="Minion Pro" w:hAnsi="Minion Pro" w:cs="Minion Pro"/>
          <w:vertAlign w:val="superscript"/>
          <w:lang w:val="en-US"/>
        </w:rPr>
        <w:t>e</w:t>
      </w:r>
      <w:r w:rsidR="004F70DF">
        <w:rPr>
          <w:rFonts w:ascii="Minion Pro" w:hAnsi="Minion Pro" w:cs="Minion Pro"/>
          <w:lang w:val="en-US"/>
        </w:rPr>
        <w:t xml:space="preserve"> ce qui </w:t>
      </w:r>
      <w:r w:rsidR="000C0381">
        <w:rPr>
          <w:rFonts w:ascii="Minion Pro" w:hAnsi="Minion Pro" w:cs="Minion Pro"/>
          <w:lang w:val="en-US"/>
        </w:rPr>
        <w:t>a été</w:t>
      </w:r>
      <w:r w:rsidR="004F70DF">
        <w:rPr>
          <w:rFonts w:ascii="Minion Pro" w:hAnsi="Minion Pro" w:cs="Minion Pro"/>
          <w:lang w:val="en-US"/>
        </w:rPr>
        <w:t>, peut-être, la dernière épreuve d'un puissant p</w:t>
      </w:r>
      <w:r w:rsidR="00294BCE">
        <w:rPr>
          <w:rFonts w:ascii="Minion Pro" w:hAnsi="Minion Pro" w:cs="Minion Pro"/>
          <w:lang w:val="en-US"/>
        </w:rPr>
        <w:t>a</w:t>
      </w:r>
      <w:r w:rsidR="000C0381">
        <w:rPr>
          <w:rFonts w:ascii="Minion Pro" w:hAnsi="Minion Pro" w:cs="Minion Pro"/>
          <w:lang w:val="en-US"/>
        </w:rPr>
        <w:t xml:space="preserve">radoxe de la </w:t>
      </w:r>
      <w:r w:rsidR="004F70DF">
        <w:rPr>
          <w:rFonts w:ascii="Minion Pro" w:hAnsi="Minion Pro" w:cs="Minion Pro"/>
          <w:lang w:val="en-US"/>
        </w:rPr>
        <w:t>représentation, à savoir montrer une forme de désir qui ne s'incarnerait pas dans la figure des sexes mais au contraire dans une puissan</w:t>
      </w:r>
      <w:r w:rsidR="000C0381">
        <w:rPr>
          <w:rFonts w:ascii="Minion Pro" w:hAnsi="Minion Pro" w:cs="Minion Pro"/>
          <w:lang w:val="en-US"/>
        </w:rPr>
        <w:t>c</w:t>
      </w:r>
      <w:r w:rsidR="004F70DF">
        <w:rPr>
          <w:rFonts w:ascii="Minion Pro" w:hAnsi="Minion Pro" w:cs="Minion Pro"/>
          <w:lang w:val="en-US"/>
        </w:rPr>
        <w:t xml:space="preserve">e infinie </w:t>
      </w:r>
      <w:r w:rsidR="006A4E21">
        <w:rPr>
          <w:rFonts w:ascii="Minion Pro" w:hAnsi="Minion Pro" w:cs="Minion Pro"/>
          <w:lang w:val="en-US"/>
        </w:rPr>
        <w:t>de l'</w:t>
      </w:r>
      <w:r w:rsidR="004F70DF">
        <w:rPr>
          <w:rFonts w:ascii="Minion Pro" w:hAnsi="Minion Pro" w:cs="Minion Pro"/>
          <w:lang w:val="en-US"/>
        </w:rPr>
        <w:t xml:space="preserve">érotisation et </w:t>
      </w:r>
      <w:r w:rsidR="006A4E21">
        <w:rPr>
          <w:rFonts w:ascii="Minion Pro" w:hAnsi="Minion Pro" w:cs="Minion Pro"/>
          <w:lang w:val="en-US"/>
        </w:rPr>
        <w:t>de l'</w:t>
      </w:r>
      <w:r w:rsidR="004F70DF">
        <w:rPr>
          <w:rFonts w:ascii="Minion Pro" w:hAnsi="Minion Pro" w:cs="Minion Pro"/>
          <w:lang w:val="en-US"/>
        </w:rPr>
        <w:t>homoérotisation du corps masculin</w:t>
      </w:r>
      <w:r w:rsidR="00B179E8">
        <w:rPr>
          <w:rStyle w:val="FootnoteReference"/>
          <w:rFonts w:ascii="Minion Pro" w:hAnsi="Minion Pro" w:cs="Minion Pro"/>
          <w:lang w:val="en-US"/>
        </w:rPr>
        <w:footnoteReference w:id="22"/>
      </w:r>
      <w:r w:rsidR="004F70DF">
        <w:rPr>
          <w:rFonts w:ascii="Minion Pro" w:hAnsi="Minion Pro" w:cs="Minion Pro"/>
          <w:lang w:val="en-US"/>
        </w:rPr>
        <w:t xml:space="preserve">. Ainsi c'est le corps qui devient organe érotique sans avoir recours à la sexualité. Mais la subtilité de ces modes de représentation n'empêche pas pour autant l'expression, plus ou moins évidente, de la part plus cachée des sexes et de leur véritable taille. Affirmation contradictoire donc du vivant et </w:t>
      </w:r>
      <w:r w:rsidR="00294BCE">
        <w:rPr>
          <w:rFonts w:ascii="Minion Pro" w:hAnsi="Minion Pro" w:cs="Minion Pro"/>
          <w:lang w:val="en-US"/>
        </w:rPr>
        <w:t xml:space="preserve">du </w:t>
      </w:r>
      <w:r w:rsidR="004F70DF">
        <w:rPr>
          <w:rFonts w:ascii="Minion Pro" w:hAnsi="Minion Pro" w:cs="Minion Pro"/>
          <w:lang w:val="en-US"/>
        </w:rPr>
        <w:t xml:space="preserve">désir, du sexe et de l'érotique des corps. C'est cet équilibre subtile qui </w:t>
      </w:r>
      <w:r w:rsidR="00294BCE">
        <w:rPr>
          <w:rFonts w:ascii="Minion Pro" w:hAnsi="Minion Pro" w:cs="Minion Pro"/>
          <w:lang w:val="en-US"/>
        </w:rPr>
        <w:t>semble coïncider avec la lecture que fait le XVI</w:t>
      </w:r>
      <w:r w:rsidR="00294BCE" w:rsidRPr="00C50758">
        <w:rPr>
          <w:rFonts w:ascii="Minion Pro" w:hAnsi="Minion Pro" w:cs="Minion Pro"/>
          <w:vertAlign w:val="superscript"/>
          <w:lang w:val="en-US"/>
        </w:rPr>
        <w:t>e</w:t>
      </w:r>
      <w:r w:rsidR="00294BCE">
        <w:rPr>
          <w:rFonts w:ascii="Minion Pro" w:hAnsi="Minion Pro" w:cs="Minion Pro"/>
          <w:lang w:val="en-US"/>
        </w:rPr>
        <w:t xml:space="preserve"> siècle de l'antiquité et de ses propres paradoxes quant à la lecture et à l'interprétation de la place de l'être. Il n'est pour autant pas tout à fait évident que cette lecture coïncide avec le monde antique</w:t>
      </w:r>
      <w:r w:rsidR="00C50758">
        <w:rPr>
          <w:rFonts w:ascii="Minion Pro" w:hAnsi="Minion Pro" w:cs="Minion Pro"/>
          <w:lang w:val="en-US"/>
        </w:rPr>
        <w:t>, bien qu'il en so</w:t>
      </w:r>
      <w:r w:rsidR="006A4E21">
        <w:rPr>
          <w:rFonts w:ascii="Minion Pro" w:hAnsi="Minion Pro" w:cs="Minion Pro"/>
          <w:lang w:val="en-US"/>
        </w:rPr>
        <w:t>it la fondation, mais en l'absorb</w:t>
      </w:r>
      <w:r w:rsidR="00C50758">
        <w:rPr>
          <w:rFonts w:ascii="Minion Pro" w:hAnsi="Minion Pro" w:cs="Minion Pro"/>
          <w:lang w:val="en-US"/>
        </w:rPr>
        <w:t>ant da</w:t>
      </w:r>
      <w:r w:rsidR="000C0381">
        <w:rPr>
          <w:rFonts w:ascii="Minion Pro" w:hAnsi="Minion Pro" w:cs="Minion Pro"/>
          <w:lang w:val="en-US"/>
        </w:rPr>
        <w:t>ns une saisie</w:t>
      </w:r>
      <w:r w:rsidR="00C50758">
        <w:rPr>
          <w:rFonts w:ascii="Minion Pro" w:hAnsi="Minion Pro" w:cs="Minion Pro"/>
          <w:lang w:val="en-US"/>
        </w:rPr>
        <w:t xml:space="preserve"> métaphysique du vivant que nous ne sommes pas exactement en mesure de comprendre : il faudrait pour cela comprendre et analyser encore la transformation des p</w:t>
      </w:r>
      <w:r w:rsidR="000C0381">
        <w:rPr>
          <w:rFonts w:ascii="Minion Pro" w:hAnsi="Minion Pro" w:cs="Minion Pro"/>
          <w:lang w:val="en-US"/>
        </w:rPr>
        <w:t>aradigmes de la sexualité, la si</w:t>
      </w:r>
      <w:r w:rsidR="00C50758">
        <w:rPr>
          <w:rFonts w:ascii="Minion Pro" w:hAnsi="Minion Pro" w:cs="Minion Pro"/>
          <w:lang w:val="en-US"/>
        </w:rPr>
        <w:t>mplification des combinatoires comme celle</w:t>
      </w:r>
      <w:r w:rsidR="000C0381">
        <w:rPr>
          <w:rFonts w:ascii="Minion Pro" w:hAnsi="Minion Pro" w:cs="Minion Pro"/>
          <w:lang w:val="en-US"/>
        </w:rPr>
        <w:t>s</w:t>
      </w:r>
      <w:r w:rsidR="00C50758">
        <w:rPr>
          <w:rFonts w:ascii="Minion Pro" w:hAnsi="Minion Pro" w:cs="Minion Pro"/>
          <w:lang w:val="en-US"/>
        </w:rPr>
        <w:t xml:space="preserve"> de la féminité et de l'hyper-sexuation de Dionysos</w:t>
      </w:r>
      <w:r w:rsidR="00294BCE">
        <w:rPr>
          <w:rFonts w:ascii="Minion Pro" w:hAnsi="Minion Pro" w:cs="Minion Pro"/>
          <w:lang w:val="en-US"/>
        </w:rPr>
        <w:t xml:space="preserve"> </w:t>
      </w:r>
      <w:r w:rsidR="00C50758">
        <w:rPr>
          <w:rFonts w:ascii="Minion Pro" w:hAnsi="Minion Pro" w:cs="Minion Pro"/>
          <w:lang w:val="en-US"/>
        </w:rPr>
        <w:t>qui semble</w:t>
      </w:r>
      <w:r w:rsidR="000C0381">
        <w:rPr>
          <w:rFonts w:ascii="Minion Pro" w:hAnsi="Minion Pro" w:cs="Minion Pro"/>
          <w:lang w:val="en-US"/>
        </w:rPr>
        <w:t>nt</w:t>
      </w:r>
      <w:r w:rsidR="00C50758">
        <w:rPr>
          <w:rFonts w:ascii="Minion Pro" w:hAnsi="Minion Pro" w:cs="Minion Pro"/>
          <w:lang w:val="en-US"/>
        </w:rPr>
        <w:t xml:space="preserve"> contradictoire</w:t>
      </w:r>
      <w:r w:rsidR="000C0381">
        <w:rPr>
          <w:rFonts w:ascii="Minion Pro" w:hAnsi="Minion Pro" w:cs="Minion Pro"/>
          <w:lang w:val="en-US"/>
        </w:rPr>
        <w:t>s</w:t>
      </w:r>
      <w:r w:rsidR="00C50758">
        <w:rPr>
          <w:rFonts w:ascii="Minion Pro" w:hAnsi="Minion Pro" w:cs="Minion Pro"/>
          <w:lang w:val="en-US"/>
        </w:rPr>
        <w:t xml:space="preserve"> et la transformation des modèles métaphysiques du désir. Enfin il semble évident que cet équilibre assez subtile qui justifie la réduction des sexes et l'augmentation d'un homoérotisme au XVI</w:t>
      </w:r>
      <w:r w:rsidR="00C50758" w:rsidRPr="00C50758">
        <w:rPr>
          <w:rFonts w:ascii="Minion Pro" w:hAnsi="Minion Pro" w:cs="Minion Pro"/>
          <w:vertAlign w:val="superscript"/>
          <w:lang w:val="en-US"/>
        </w:rPr>
        <w:t>e</w:t>
      </w:r>
      <w:r w:rsidR="00C50758">
        <w:rPr>
          <w:rFonts w:ascii="Minion Pro" w:hAnsi="Minion Pro" w:cs="Minion Pro"/>
          <w:lang w:val="en-US"/>
        </w:rPr>
        <w:t xml:space="preserve"> se trouve reconduit à un paroxisme délirant et aveugle au XIX</w:t>
      </w:r>
      <w:r w:rsidR="00C50758" w:rsidRPr="00C50758">
        <w:rPr>
          <w:rFonts w:ascii="Minion Pro" w:hAnsi="Minion Pro" w:cs="Minion Pro"/>
          <w:vertAlign w:val="superscript"/>
          <w:lang w:val="en-US"/>
        </w:rPr>
        <w:t>e</w:t>
      </w:r>
      <w:r w:rsidR="00C50758">
        <w:rPr>
          <w:rFonts w:ascii="Minion Pro" w:hAnsi="Minion Pro" w:cs="Minion Pro"/>
          <w:lang w:val="en-US"/>
        </w:rPr>
        <w:t xml:space="preserve"> absorbé dans un déni du sexe (suppres</w:t>
      </w:r>
      <w:r w:rsidR="006A4E21">
        <w:rPr>
          <w:rFonts w:ascii="Minion Pro" w:hAnsi="Minion Pro" w:cs="Minion Pro"/>
          <w:lang w:val="en-US"/>
        </w:rPr>
        <w:t>sion des sexes) et une explosi</w:t>
      </w:r>
      <w:r w:rsidR="00C50758">
        <w:rPr>
          <w:rFonts w:ascii="Minion Pro" w:hAnsi="Minion Pro" w:cs="Minion Pro"/>
          <w:lang w:val="en-US"/>
        </w:rPr>
        <w:t xml:space="preserve">on des délires pervers (augmentation des fétiches) et à une incompréhension absolue pour notre contemporain qui se fonde dans un tout </w:t>
      </w:r>
      <w:r w:rsidR="000C0381">
        <w:rPr>
          <w:rFonts w:ascii="Minion Pro" w:hAnsi="Minion Pro" w:cs="Minion Pro"/>
          <w:lang w:val="en-US"/>
        </w:rPr>
        <w:t xml:space="preserve">autre </w:t>
      </w:r>
      <w:r w:rsidR="00C50758">
        <w:rPr>
          <w:rFonts w:ascii="Minion Pro" w:hAnsi="Minion Pro" w:cs="Minion Pro"/>
          <w:lang w:val="en-US"/>
        </w:rPr>
        <w:t>voir et dans un exercice calculateur du voir toujours le plus grand</w:t>
      </w:r>
      <w:r w:rsidR="004E4454">
        <w:rPr>
          <w:rFonts w:ascii="Minion Pro" w:hAnsi="Minion Pro" w:cs="Minion Pro"/>
          <w:lang w:val="en-US"/>
        </w:rPr>
        <w:t xml:space="preserve"> ou le plus puissant. </w:t>
      </w:r>
    </w:p>
    <w:p w:rsidR="002E7909" w:rsidRPr="002E7909" w:rsidRDefault="002E7909" w:rsidP="002E7909">
      <w:pPr>
        <w:widowControl w:val="0"/>
        <w:autoSpaceDE w:val="0"/>
        <w:autoSpaceDN w:val="0"/>
        <w:adjustRightInd w:val="0"/>
        <w:spacing w:line="288" w:lineRule="auto"/>
        <w:ind w:right="114"/>
        <w:jc w:val="both"/>
        <w:rPr>
          <w:rFonts w:ascii="Minion Pro" w:hAnsi="Minion Pro" w:cs="Minion Pro"/>
          <w:lang w:val="en-US"/>
        </w:rPr>
      </w:pPr>
    </w:p>
    <w:p w:rsidR="00407C2A" w:rsidRPr="00407C2A" w:rsidRDefault="00407C2A" w:rsidP="00407C2A">
      <w:pPr>
        <w:widowControl w:val="0"/>
        <w:autoSpaceDE w:val="0"/>
        <w:autoSpaceDN w:val="0"/>
        <w:adjustRightInd w:val="0"/>
        <w:spacing w:line="288" w:lineRule="auto"/>
        <w:ind w:right="114"/>
        <w:jc w:val="both"/>
        <w:rPr>
          <w:rFonts w:ascii="Minion Pro" w:hAnsi="Minion Pro" w:cs="Minion Pro"/>
          <w:lang w:val="en-US"/>
        </w:rPr>
      </w:pPr>
      <w:r>
        <w:rPr>
          <w:rFonts w:ascii="Minion Pro" w:hAnsi="Minion Pro" w:cs="Minion Pro"/>
          <w:lang w:val="en-US"/>
        </w:rPr>
        <w:tab/>
      </w:r>
      <w:r w:rsidR="002E7909" w:rsidRPr="002E7909">
        <w:rPr>
          <w:rFonts w:ascii="Minion Pro" w:hAnsi="Minion Pro" w:cs="Minion Pro"/>
          <w:lang w:val="en-US"/>
        </w:rPr>
        <w:t>Nous avons poser comme hypothèse à ce travail que la réduction de la taille des sexes masculins dans les représentations antiques et de la première période du XVI</w:t>
      </w:r>
      <w:r w:rsidR="002E7909" w:rsidRPr="00407C2A">
        <w:rPr>
          <w:rFonts w:ascii="Minion Pro" w:hAnsi="Minion Pro" w:cs="Minion Pro"/>
          <w:vertAlign w:val="superscript"/>
          <w:lang w:val="en-US"/>
        </w:rPr>
        <w:t>e</w:t>
      </w:r>
      <w:r w:rsidR="004E4454">
        <w:rPr>
          <w:rFonts w:ascii="Minion Pro" w:hAnsi="Minion Pro" w:cs="Minion Pro"/>
          <w:lang w:val="en-US"/>
        </w:rPr>
        <w:t xml:space="preserve"> siècle étai</w:t>
      </w:r>
      <w:r w:rsidR="002E7909" w:rsidRPr="002E7909">
        <w:rPr>
          <w:rFonts w:ascii="Minion Pro" w:hAnsi="Minion Pro" w:cs="Minion Pro"/>
          <w:lang w:val="en-US"/>
        </w:rPr>
        <w:t xml:space="preserve">t liée à un problème moral de la représentation de la puissance masculine et du pouvoir mais surtout à </w:t>
      </w:r>
      <w:r>
        <w:rPr>
          <w:rFonts w:ascii="Minion Pro" w:hAnsi="Minion Pro" w:cs="Minion Pro"/>
          <w:lang w:val="en-US"/>
        </w:rPr>
        <w:t xml:space="preserve">une </w:t>
      </w:r>
      <w:r w:rsidR="002E7909" w:rsidRPr="002E7909">
        <w:rPr>
          <w:rFonts w:ascii="Minion Pro" w:hAnsi="Minion Pro" w:cs="Minion Pro"/>
          <w:lang w:val="en-US"/>
        </w:rPr>
        <w:t>histoire plus c</w:t>
      </w:r>
      <w:r>
        <w:rPr>
          <w:rFonts w:ascii="Minion Pro" w:hAnsi="Minion Pro" w:cs="Minion Pro"/>
          <w:lang w:val="en-US"/>
        </w:rPr>
        <w:t>omplexe de la construction d’un</w:t>
      </w:r>
      <w:r w:rsidR="002E7909" w:rsidRPr="002E7909">
        <w:rPr>
          <w:rFonts w:ascii="Minion Pro" w:hAnsi="Minion Pro" w:cs="Minion Pro"/>
          <w:lang w:val="en-US"/>
        </w:rPr>
        <w:t xml:space="preserve"> désir homoérotique. Ce désir permet à la fois la représentation de cette puissance et l’adhésion possible à l’image. Le tournant s’opère très précisément dès lors qu’il faut construire ce désir (qui ne peut pas être de la sexualité) et dès lors qu’il faut lié ce désir à la puissance de gouvernance (qui doit être du désir). Ce ne peut d</w:t>
      </w:r>
      <w:r w:rsidR="004E4454">
        <w:rPr>
          <w:rFonts w:ascii="Minion Pro" w:hAnsi="Minion Pro" w:cs="Minion Pro"/>
          <w:lang w:val="en-US"/>
        </w:rPr>
        <w:t>onc être une histoire de sexe, m</w:t>
      </w:r>
      <w:r w:rsidR="002E7909" w:rsidRPr="002E7909">
        <w:rPr>
          <w:rFonts w:ascii="Minion Pro" w:hAnsi="Minion Pro" w:cs="Minion Pro"/>
          <w:lang w:val="en-US"/>
        </w:rPr>
        <w:t xml:space="preserve">ais à la fois un désir de ce qui n’est pas et un désir illimité pour les gestes qui viennent se substituer à ce manque. L’histoire de l’art et la fascination pré-moderne pour cette image du corps masculin est une prouesse conceptuelle (qui consiste à faire manquer quelque chose pour le faire advenir comme figure de la gouvernance) et une prouesse politique, en ce sens que la gestion des usages ne peut se situer dans l’espace de la consommation et de la domination. Il s’agit en ce sens de l’affirmation d’une histoire matérielle du geste et de ses usages. </w:t>
      </w:r>
      <w:r w:rsidR="004E4454">
        <w:rPr>
          <w:rFonts w:ascii="Minion Pro" w:hAnsi="Minion Pro" w:cs="Minion Pro"/>
          <w:lang w:val="en-US"/>
        </w:rPr>
        <w:t xml:space="preserve">Cela signifie en somme que toute représentation de la puissance de gouvernance (celle de l'athlète, celle du kouros, celle du gouverneur, celle du rédempteur) ne peut passer que par une réduction de l'organe du désir pour déplacer ce désir à la fois comme forme métaphysique d'un désir infini de celui qui est représenté pour l'être qui ne l'est pas et d'un désir irrépréssible de l'être qui n'est pas représenté pour le corps érotique, infiniment érotique de l'image. Toute gouvernance qui s'incarnerait dans une image nécessiterait une sorte d'amuissement du sexe pour faire advenir l'abondance d'un désir érotique. C'est probablement ce que ne cessent de dire ces images, qu'au-delà de la morale (qui ne se préoccupe pas la taille mais de l'usage), il s'agit d'une </w:t>
      </w:r>
      <w:r w:rsidR="008C173A">
        <w:rPr>
          <w:rFonts w:ascii="Minion Pro" w:hAnsi="Minion Pro" w:cs="Minion Pro"/>
          <w:lang w:val="en-US"/>
        </w:rPr>
        <w:t xml:space="preserve">problématique matérielle du désir qui ne s'invite pas dans l'image des sexes mais dans celle des usages et des gestes. Cependant, pour nous contemporains, qui ne cessont de voir des images et de faire des images des autres et de nous-mêmes, nous ne sommes plus réellement en mesure de comprendre la puissance matérielle du désir érotique des gestes et des usages. </w:t>
      </w:r>
    </w:p>
    <w:p w:rsidR="00407C2A" w:rsidRDefault="00407C2A" w:rsidP="002E7909">
      <w:pPr>
        <w:widowControl w:val="0"/>
        <w:autoSpaceDE w:val="0"/>
        <w:autoSpaceDN w:val="0"/>
        <w:adjustRightInd w:val="0"/>
        <w:spacing w:line="288" w:lineRule="auto"/>
        <w:ind w:right="114"/>
        <w:jc w:val="both"/>
        <w:rPr>
          <w:rFonts w:ascii="Helvetica" w:hAnsi="Helvetica" w:cs="Helvetica"/>
          <w:color w:val="1A1A1A"/>
          <w:sz w:val="28"/>
          <w:szCs w:val="28"/>
          <w:lang w:val="en-US"/>
        </w:rPr>
      </w:pPr>
    </w:p>
    <w:p w:rsidR="002E7909" w:rsidRPr="00407C2A" w:rsidRDefault="00407C2A" w:rsidP="002E7909">
      <w:pPr>
        <w:widowControl w:val="0"/>
        <w:autoSpaceDE w:val="0"/>
        <w:autoSpaceDN w:val="0"/>
        <w:adjustRightInd w:val="0"/>
        <w:spacing w:line="288" w:lineRule="auto"/>
        <w:ind w:right="114"/>
        <w:jc w:val="both"/>
        <w:rPr>
          <w:rFonts w:ascii="Minion Pro" w:hAnsi="Minion Pro" w:cs="Helvetica"/>
          <w:color w:val="1A1A1A"/>
          <w:sz w:val="22"/>
          <w:szCs w:val="28"/>
          <w:lang w:val="en-US"/>
        </w:rPr>
      </w:pP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sidRPr="00407C2A">
        <w:rPr>
          <w:rFonts w:ascii="Minion Pro" w:hAnsi="Minion Pro" w:cs="Helvetica"/>
          <w:color w:val="1A1A1A"/>
          <w:sz w:val="22"/>
          <w:szCs w:val="28"/>
          <w:lang w:val="en-US"/>
        </w:rPr>
        <w:tab/>
      </w:r>
      <w:r>
        <w:rPr>
          <w:rFonts w:ascii="Minion Pro" w:hAnsi="Minion Pro" w:cs="Helvetica"/>
          <w:color w:val="1A1A1A"/>
          <w:sz w:val="22"/>
          <w:szCs w:val="28"/>
          <w:lang w:val="en-US"/>
        </w:rPr>
        <w:tab/>
      </w:r>
      <w:r>
        <w:rPr>
          <w:rFonts w:ascii="Minion Pro" w:hAnsi="Minion Pro" w:cs="Helvetica"/>
          <w:color w:val="1A1A1A"/>
          <w:sz w:val="22"/>
          <w:szCs w:val="28"/>
          <w:lang w:val="en-US"/>
        </w:rPr>
        <w:tab/>
      </w:r>
      <w:r w:rsidR="008C173A">
        <w:rPr>
          <w:rFonts w:ascii="Minion Pro" w:hAnsi="Minion Pro" w:cs="Helvetica"/>
          <w:color w:val="1A1A1A"/>
          <w:sz w:val="22"/>
          <w:szCs w:val="28"/>
          <w:lang w:val="en-US"/>
        </w:rPr>
        <w:t xml:space="preserve">Fabien Vallos, 2019. </w:t>
      </w:r>
    </w:p>
    <w:p w:rsidR="002E7909" w:rsidRDefault="002E7909" w:rsidP="002E7909">
      <w:pPr>
        <w:jc w:val="both"/>
      </w:pPr>
    </w:p>
    <w:sectPr w:rsidR="002E7909" w:rsidSect="002E7909">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Adobe Caslon Pro">
    <w:panose1 w:val="0205050205050A020403"/>
    <w:charset w:val="00"/>
    <w:family w:val="auto"/>
    <w:pitch w:val="variable"/>
    <w:sig w:usb0="00000003" w:usb1="00000000" w:usb2="00000000" w:usb3="00000000" w:csb0="00000001" w:csb1="00000000"/>
  </w:font>
  <w:font w:name="Minion Pro">
    <w:panose1 w:val="02040503050201020203"/>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Greek">
    <w:panose1 w:val="02020500000000000000"/>
    <w:charset w:val="00"/>
    <w:family w:val="auto"/>
    <w:pitch w:val="variable"/>
    <w:sig w:usb0="00000003" w:usb1="00000000" w:usb2="00000000" w:usb3="00000000" w:csb0="00000001" w:csb1="00000000"/>
  </w:font>
  <w:font w:name="ACaslonPro-Italic">
    <w:altName w:val="Adobe Caslon Pro"/>
    <w:panose1 w:val="00000000000000000000"/>
    <w:charset w:val="4D"/>
    <w:family w:val="auto"/>
    <w:notTrueType/>
    <w:pitch w:val="default"/>
    <w:sig w:usb0="00000003" w:usb1="00000000" w:usb2="00000000" w:usb3="00000000" w:csb0="00000001" w:csb1="00000000"/>
  </w:font>
  <w:font w:name="ACaslonPro-Regular">
    <w:altName w:val="Adobe Caslon Pro"/>
    <w:panose1 w:val="00000000000000000000"/>
    <w:charset w:val="4D"/>
    <w:family w:val="auto"/>
    <w:notTrueType/>
    <w:pitch w:val="default"/>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id="0">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Kenneth Dover, </w:t>
      </w:r>
      <w:r w:rsidRPr="00407C2A">
        <w:rPr>
          <w:rFonts w:ascii="Minion Pro" w:hAnsi="Minion Pro" w:cs="Minion Pro"/>
          <w:i/>
          <w:iCs/>
          <w:sz w:val="22"/>
          <w:lang w:val="en-US"/>
        </w:rPr>
        <w:t>L’Homosexualité grecque</w:t>
      </w:r>
      <w:r w:rsidRPr="00407C2A">
        <w:rPr>
          <w:rFonts w:ascii="Minion Pro" w:hAnsi="Minion Pro" w:cs="Minion Pro"/>
          <w:sz w:val="22"/>
          <w:lang w:val="en-US"/>
        </w:rPr>
        <w:t xml:space="preserve">, trad. S. Saïd, La pensée sauvage, 1980 ; </w:t>
      </w:r>
      <w:r w:rsidRPr="00407C2A">
        <w:rPr>
          <w:rFonts w:ascii="Minion Pro" w:hAnsi="Minion Pro" w:cs="Minion Pro"/>
          <w:color w:val="1A1A1A"/>
          <w:sz w:val="22"/>
          <w:lang w:val="en-US"/>
        </w:rPr>
        <w:t>Kenneth Clark, </w:t>
      </w:r>
      <w:r w:rsidRPr="00407C2A">
        <w:rPr>
          <w:rFonts w:ascii="Minion Pro" w:hAnsi="Minion Pro" w:cs="Minion Pro"/>
          <w:i/>
          <w:iCs/>
          <w:color w:val="1A1A1A"/>
          <w:sz w:val="22"/>
          <w:lang w:val="en-US"/>
        </w:rPr>
        <w:t>The Nude, an Essay in Ideal Form</w:t>
      </w:r>
      <w:r w:rsidRPr="00407C2A">
        <w:rPr>
          <w:rFonts w:ascii="Minion Pro" w:hAnsi="Minion Pro" w:cs="Minion Pro"/>
          <w:color w:val="1A1A1A"/>
          <w:sz w:val="22"/>
          <w:lang w:val="en-US"/>
        </w:rPr>
        <w:t xml:space="preserve">, Princeton University Press, 1956 et </w:t>
      </w:r>
      <w:r w:rsidRPr="00407C2A">
        <w:rPr>
          <w:rFonts w:ascii="Minion Pro" w:hAnsi="Minion Pro" w:cs="Minion Pro"/>
          <w:i/>
          <w:iCs/>
          <w:color w:val="1A1A1A"/>
          <w:sz w:val="22"/>
          <w:lang w:val="en-US"/>
        </w:rPr>
        <w:t>Le Nu</w:t>
      </w:r>
      <w:r w:rsidRPr="00407C2A">
        <w:rPr>
          <w:rFonts w:ascii="Minion Pro" w:hAnsi="Minion Pro" w:cs="Minion Pro"/>
          <w:color w:val="1A1A1A"/>
          <w:sz w:val="22"/>
          <w:lang w:val="en-US"/>
        </w:rPr>
        <w:t xml:space="preserve">, Hachette, 1998 ; Michel Foucault, </w:t>
      </w:r>
      <w:r w:rsidRPr="00407C2A">
        <w:rPr>
          <w:rFonts w:ascii="Minion Pro" w:hAnsi="Minion Pro" w:cs="Minion Pro"/>
          <w:i/>
          <w:color w:val="1A1A1A"/>
          <w:sz w:val="22"/>
          <w:lang w:val="en-US"/>
        </w:rPr>
        <w:t>Histoire de la sexualité, II, L’usage des plaisirs</w:t>
      </w:r>
      <w:r w:rsidRPr="00407C2A">
        <w:rPr>
          <w:rFonts w:ascii="Minion Pro" w:hAnsi="Minion Pro" w:cs="Minion Pro"/>
          <w:color w:val="1A1A1A"/>
          <w:sz w:val="22"/>
          <w:lang w:val="en-US"/>
        </w:rPr>
        <w:t>, Gallimard, 1984.</w:t>
      </w:r>
    </w:p>
  </w:footnote>
  <w:footnote w:id="1">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Et ceci dès 1519-1521 lors de la réalisation des fresques représentant </w:t>
      </w:r>
      <w:r w:rsidRPr="00407C2A">
        <w:rPr>
          <w:rFonts w:ascii="Minion Pro" w:hAnsi="Minion Pro" w:cs="Minion Pro"/>
          <w:i/>
          <w:iCs/>
          <w:sz w:val="22"/>
          <w:lang w:val="en-US"/>
        </w:rPr>
        <w:t>Vertumne et Pomone</w:t>
      </w:r>
      <w:r w:rsidRPr="00407C2A">
        <w:rPr>
          <w:rFonts w:ascii="Minion Pro" w:hAnsi="Minion Pro" w:cs="Minion Pro"/>
          <w:sz w:val="22"/>
          <w:lang w:val="en-US"/>
        </w:rPr>
        <w:t xml:space="preserve"> de la lunette de la villa médicéenne à Poggio a Caiano. Jacopo da Pontormo a alors en</w:t>
      </w:r>
      <w:r>
        <w:rPr>
          <w:rFonts w:ascii="Minion Pro" w:hAnsi="Minion Pro" w:cs="Minion Pro"/>
          <w:sz w:val="22"/>
          <w:lang w:val="en-US"/>
        </w:rPr>
        <w:t>tre</w:t>
      </w:r>
      <w:r w:rsidRPr="00407C2A">
        <w:rPr>
          <w:rFonts w:ascii="Minion Pro" w:hAnsi="Minion Pro" w:cs="Minion Pro"/>
          <w:sz w:val="22"/>
          <w:lang w:val="en-US"/>
        </w:rPr>
        <w:t xml:space="preserve"> 22 et 25 ans.</w:t>
      </w:r>
    </w:p>
  </w:footnote>
  <w:footnote w:id="2">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Jacopo da Pontormo, </w:t>
      </w:r>
      <w:r w:rsidRPr="00407C2A">
        <w:rPr>
          <w:rFonts w:ascii="Minion Pro" w:hAnsi="Minion Pro" w:cs="Minion Pro"/>
          <w:i/>
          <w:iCs/>
          <w:sz w:val="22"/>
          <w:lang w:val="en-US"/>
        </w:rPr>
        <w:t>Journal</w:t>
      </w:r>
      <w:r w:rsidRPr="00407C2A">
        <w:rPr>
          <w:rFonts w:ascii="Minion Pro" w:hAnsi="Minion Pro" w:cs="Minion Pro"/>
          <w:sz w:val="22"/>
          <w:lang w:val="en-US"/>
        </w:rPr>
        <w:t>, trad. F. Vallos, éd. Mix., 2008.</w:t>
      </w:r>
    </w:p>
  </w:footnote>
  <w:footnote w:id="3">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Voir note 1. Voir encore </w:t>
      </w:r>
      <w:r w:rsidRPr="00407C2A">
        <w:rPr>
          <w:rFonts w:ascii="Minion Pro" w:hAnsi="Minion Pro" w:cs="Minion Pro"/>
          <w:color w:val="262626"/>
          <w:sz w:val="22"/>
          <w:lang w:val="en-US"/>
        </w:rPr>
        <w:t>Thierry </w:t>
      </w:r>
      <w:r>
        <w:rPr>
          <w:rFonts w:ascii="Minion Pro" w:hAnsi="Minion Pro" w:cs="Minion Pro"/>
          <w:color w:val="262626"/>
          <w:sz w:val="22"/>
          <w:lang w:val="en-US"/>
        </w:rPr>
        <w:t>É</w:t>
      </w:r>
      <w:r w:rsidRPr="00407C2A">
        <w:rPr>
          <w:rFonts w:ascii="Minion Pro" w:hAnsi="Minion Pro" w:cs="Minion Pro"/>
          <w:color w:val="262626"/>
          <w:sz w:val="22"/>
          <w:lang w:val="en-US"/>
        </w:rPr>
        <w:t>loi, « La sexualité de l’homme romain antique », </w:t>
      </w:r>
      <w:r w:rsidRPr="00407C2A">
        <w:rPr>
          <w:rFonts w:ascii="Minion Pro" w:hAnsi="Minion Pro" w:cs="Minion Pro"/>
          <w:i/>
          <w:iCs/>
          <w:color w:val="262626"/>
          <w:sz w:val="22"/>
          <w:lang w:val="en-US"/>
        </w:rPr>
        <w:t>Clio. Histoire‚ femmes et sociétés</w:t>
      </w:r>
      <w:r>
        <w:rPr>
          <w:rFonts w:ascii="Minion Pro" w:hAnsi="Minion Pro" w:cs="Minion Pro"/>
          <w:color w:val="262626"/>
          <w:sz w:val="22"/>
          <w:lang w:val="en-US"/>
        </w:rPr>
        <w:t xml:space="preserve"> [En ligne], 22 | 2005 </w:t>
      </w:r>
      <w:r w:rsidRPr="00407C2A">
        <w:rPr>
          <w:rFonts w:ascii="Minion Pro" w:hAnsi="Minion Pro" w:cs="Minion Pro"/>
          <w:color w:val="262626"/>
          <w:sz w:val="22"/>
          <w:lang w:val="en-US"/>
        </w:rPr>
        <w:t>: http://journals.openedition.org/clio/1770</w:t>
      </w:r>
    </w:p>
  </w:footnote>
  <w:footnote w:id="4">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i/>
          <w:iCs/>
          <w:color w:val="262626"/>
          <w:sz w:val="22"/>
          <w:lang w:val="en-US"/>
        </w:rPr>
        <w:t>Galate mourant</w:t>
      </w:r>
      <w:r w:rsidRPr="00407C2A">
        <w:rPr>
          <w:rFonts w:ascii="Minion Pro" w:hAnsi="Minion Pro" w:cs="Minion Pro"/>
          <w:color w:val="262626"/>
          <w:sz w:val="22"/>
          <w:lang w:val="en-US"/>
        </w:rPr>
        <w:t>, marbre, 73x185</w:t>
      </w:r>
      <w:r>
        <w:rPr>
          <w:rFonts w:ascii="Minion Pro" w:hAnsi="Minion Pro" w:cs="Minion Pro"/>
          <w:color w:val="262626"/>
          <w:sz w:val="22"/>
          <w:lang w:val="en-US"/>
        </w:rPr>
        <w:t xml:space="preserve"> cm</w:t>
      </w:r>
      <w:r w:rsidRPr="00407C2A">
        <w:rPr>
          <w:rFonts w:ascii="Minion Pro" w:hAnsi="Minion Pro" w:cs="Minion Pro"/>
          <w:color w:val="262626"/>
          <w:sz w:val="22"/>
          <w:lang w:val="en-US"/>
        </w:rPr>
        <w:t>, Musée du Capitole, Rome. Copie romaine d’un original grec exécuté vers 230 AEC.</w:t>
      </w:r>
    </w:p>
  </w:footnote>
  <w:footnote w:id="5">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color w:val="262626"/>
          <w:sz w:val="22"/>
          <w:lang w:val="en-US"/>
        </w:rPr>
        <w:t xml:space="preserve">Aristophane, </w:t>
      </w:r>
      <w:r w:rsidRPr="00407C2A">
        <w:rPr>
          <w:rFonts w:ascii="Minion Pro" w:hAnsi="Minion Pro" w:cs="Minion Pro"/>
          <w:i/>
          <w:iCs/>
          <w:color w:val="262626"/>
          <w:sz w:val="22"/>
          <w:lang w:val="en-US"/>
        </w:rPr>
        <w:t>Les Nuées</w:t>
      </w:r>
      <w:r w:rsidRPr="00407C2A">
        <w:rPr>
          <w:rFonts w:ascii="Minion Pro" w:hAnsi="Minion Pro" w:cs="Minion Pro"/>
          <w:color w:val="262626"/>
          <w:sz w:val="22"/>
          <w:lang w:val="en-US"/>
        </w:rPr>
        <w:t>, v. 1009-1018, trad. de l’auteur : « </w:t>
      </w:r>
      <w:r w:rsidRPr="00407C2A">
        <w:rPr>
          <w:rFonts w:ascii="Minion Pro" w:hAnsi="Minion Pro" w:cs="Minion Pro"/>
          <w:sz w:val="22"/>
          <w:lang w:val="en-US"/>
        </w:rPr>
        <w:t>Tu auras toujours la poitrine luisante et le teint brillant, (</w:t>
      </w:r>
      <w:r w:rsidRPr="00407C2A">
        <w:rPr>
          <w:rFonts w:ascii="Minion Pro" w:hAnsi="Minion Pro" w:cs="Lucida Grande"/>
          <w:sz w:val="22"/>
          <w:szCs w:val="20"/>
          <w:lang w:val="en-US"/>
        </w:rPr>
        <w:t>στῆθος</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λιπαρόν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χροιὰν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λαμπράν</w:t>
      </w:r>
      <w:r w:rsidRPr="00407C2A">
        <w:rPr>
          <w:rFonts w:ascii="Minion Pro" w:hAnsi="Minion Pro" w:cs="Adobe Caslon Pro"/>
          <w:sz w:val="22"/>
          <w:lang w:val="en-US"/>
        </w:rPr>
        <w:t>,</w:t>
      </w:r>
      <w:r w:rsidRPr="00407C2A">
        <w:rPr>
          <w:rFonts w:ascii="Minion Pro" w:hAnsi="Minion Pro" w:cs="Minion Pro"/>
          <w:sz w:val="22"/>
          <w:lang w:val="en-US"/>
        </w:rPr>
        <w:t>) Les épaules larges et la langue courte (</w:t>
      </w:r>
      <w:r w:rsidRPr="00407C2A">
        <w:rPr>
          <w:rFonts w:ascii="Minion Pro" w:hAnsi="Minion Pro" w:cs="Lucida Grande"/>
          <w:sz w:val="22"/>
          <w:szCs w:val="20"/>
          <w:lang w:val="en-US"/>
        </w:rPr>
        <w:t>ὤμους</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μεγάλους</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γλῶτταν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βαιάν</w:t>
      </w:r>
      <w:r w:rsidRPr="00407C2A">
        <w:rPr>
          <w:rFonts w:ascii="Minion Pro" w:hAnsi="Minion Pro" w:cs="Greek"/>
          <w:sz w:val="22"/>
          <w:szCs w:val="20"/>
          <w:lang w:val="en-US"/>
        </w:rPr>
        <w:t>,</w:t>
      </w:r>
      <w:r w:rsidRPr="00407C2A">
        <w:rPr>
          <w:rFonts w:ascii="Minion Pro" w:hAnsi="Minion Pro" w:cs="Minion Pro"/>
          <w:sz w:val="22"/>
          <w:lang w:val="en-US"/>
        </w:rPr>
        <w:t>) la fesse rebondit et le pénis petit (</w:t>
      </w:r>
      <w:r w:rsidRPr="00407C2A">
        <w:rPr>
          <w:rFonts w:ascii="Minion Pro" w:hAnsi="Minion Pro" w:cs="Lucida Grande"/>
          <w:sz w:val="22"/>
          <w:szCs w:val="20"/>
          <w:lang w:val="en-US"/>
        </w:rPr>
        <w:t>πυγὴν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μεγάλην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πόσθην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μικράν</w:t>
      </w:r>
      <w:r w:rsidRPr="00407C2A">
        <w:rPr>
          <w:rFonts w:ascii="Minion Pro" w:hAnsi="Minion Pro" w:cs="Greek"/>
          <w:sz w:val="22"/>
          <w:szCs w:val="20"/>
          <w:lang w:val="en-US"/>
        </w:rPr>
        <w:t>.</w:t>
      </w:r>
      <w:r w:rsidRPr="00407C2A">
        <w:rPr>
          <w:rFonts w:ascii="Minion Pro" w:hAnsi="Minion Pro" w:cs="Minion Pro"/>
          <w:sz w:val="22"/>
          <w:lang w:val="en-US"/>
        </w:rPr>
        <w:t>) mais si tu adoptes les usages à la modes tu auras le teint terne et les épaules étroites (</w:t>
      </w:r>
      <w:r w:rsidRPr="00407C2A">
        <w:rPr>
          <w:rFonts w:ascii="Minion Pro" w:hAnsi="Minion Pro" w:cs="Lucida Grande"/>
          <w:sz w:val="22"/>
          <w:szCs w:val="20"/>
          <w:lang w:val="en-US"/>
        </w:rPr>
        <w:t>χροιὰν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ὠχράν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ὤμους</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μικρούς</w:t>
      </w:r>
      <w:r w:rsidRPr="00407C2A">
        <w:rPr>
          <w:rFonts w:ascii="Minion Pro" w:hAnsi="Minion Pro" w:cs="Adobe Caslon Pro"/>
          <w:sz w:val="22"/>
          <w:lang w:val="en-US"/>
        </w:rPr>
        <w:t>,</w:t>
      </w:r>
      <w:r w:rsidRPr="00407C2A">
        <w:rPr>
          <w:rFonts w:ascii="Minion Pro" w:hAnsi="Minion Pro" w:cs="Minion Pro"/>
          <w:sz w:val="22"/>
          <w:lang w:val="en-US"/>
        </w:rPr>
        <w:t>) la poitrine fine et la langue pendue (</w:t>
      </w:r>
      <w:r w:rsidRPr="00407C2A">
        <w:rPr>
          <w:rFonts w:ascii="Minion Pro" w:hAnsi="Minion Pro" w:cs="Lucida Grande"/>
          <w:sz w:val="22"/>
          <w:szCs w:val="20"/>
          <w:lang w:val="en-US"/>
        </w:rPr>
        <w:t>στῆθος</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λεπτόν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γλῶτταν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μεγάλην</w:t>
      </w:r>
      <w:r w:rsidRPr="00407C2A">
        <w:rPr>
          <w:rFonts w:ascii="Minion Pro" w:hAnsi="Minion Pro" w:cs="Greek"/>
          <w:sz w:val="22"/>
          <w:szCs w:val="20"/>
          <w:lang w:val="en-US"/>
        </w:rPr>
        <w:t>,</w:t>
      </w:r>
      <w:r w:rsidRPr="00407C2A">
        <w:rPr>
          <w:rFonts w:ascii="Minion Pro" w:hAnsi="Minion Pro" w:cs="Minion Pro"/>
          <w:sz w:val="22"/>
          <w:lang w:val="en-US"/>
        </w:rPr>
        <w:t>) la fesse petite et le sexe gros (</w:t>
      </w:r>
      <w:r w:rsidRPr="00407C2A">
        <w:rPr>
          <w:rFonts w:ascii="Minion Pro" w:hAnsi="Minion Pro" w:cs="Lucida Grande"/>
          <w:sz w:val="22"/>
          <w:szCs w:val="20"/>
          <w:lang w:val="en-US"/>
        </w:rPr>
        <w:t>πυγὴν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μικράν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κωλῆν</w:t>
      </w:r>
      <w:r w:rsidRPr="00407C2A">
        <w:rPr>
          <w:rFonts w:ascii="Minion Pro" w:hAnsi="Minion Pro" w:cs="Greek"/>
          <w:sz w:val="22"/>
          <w:szCs w:val="20"/>
          <w:lang w:val="en-US"/>
        </w:rPr>
        <w:t xml:space="preserve"> </w:t>
      </w:r>
      <w:r w:rsidRPr="00407C2A">
        <w:rPr>
          <w:rFonts w:ascii="Minion Pro" w:hAnsi="Minion Pro" w:cs="Lucida Grande"/>
          <w:sz w:val="22"/>
          <w:szCs w:val="20"/>
          <w:lang w:val="en-US"/>
        </w:rPr>
        <w:t>μεγάλην</w:t>
      </w:r>
      <w:r w:rsidRPr="00407C2A">
        <w:rPr>
          <w:rFonts w:ascii="Minion Pro" w:hAnsi="Minion Pro" w:cs="Adobe Caslon Pro"/>
          <w:sz w:val="22"/>
          <w:lang w:val="en-US"/>
        </w:rPr>
        <w:t>,</w:t>
      </w:r>
      <w:r w:rsidRPr="00407C2A">
        <w:rPr>
          <w:rFonts w:ascii="Minion Pro" w:hAnsi="Minion Pro" w:cs="Minion Pro"/>
          <w:sz w:val="22"/>
          <w:lang w:val="en-US"/>
        </w:rPr>
        <w:t>). Il faut noter que si Aristophane utilise toujours les mêmes mots pour poitrine (</w:t>
      </w:r>
      <w:r w:rsidRPr="00407C2A">
        <w:rPr>
          <w:rFonts w:ascii="Minion Pro" w:hAnsi="Minion Pro" w:cs="Minion Pro"/>
          <w:i/>
          <w:iCs/>
          <w:sz w:val="22"/>
          <w:lang w:val="en-US"/>
        </w:rPr>
        <w:t>stèthos</w:t>
      </w:r>
      <w:r w:rsidRPr="00407C2A">
        <w:rPr>
          <w:rFonts w:ascii="Minion Pro" w:hAnsi="Minion Pro" w:cs="Minion Pro"/>
          <w:sz w:val="22"/>
          <w:lang w:val="en-US"/>
        </w:rPr>
        <w:t>), teint (</w:t>
      </w:r>
      <w:r w:rsidRPr="00407C2A">
        <w:rPr>
          <w:rFonts w:ascii="Minion Pro" w:hAnsi="Minion Pro" w:cs="Minion Pro"/>
          <w:i/>
          <w:iCs/>
          <w:sz w:val="22"/>
          <w:lang w:val="en-US"/>
        </w:rPr>
        <w:t>khroia</w:t>
      </w:r>
      <w:r w:rsidRPr="00407C2A">
        <w:rPr>
          <w:rFonts w:ascii="Minion Pro" w:hAnsi="Minion Pro" w:cs="Minion Pro"/>
          <w:sz w:val="22"/>
          <w:lang w:val="en-US"/>
        </w:rPr>
        <w:t>), épaule (</w:t>
      </w:r>
      <w:r w:rsidRPr="00407C2A">
        <w:rPr>
          <w:rFonts w:ascii="Minion Pro" w:hAnsi="Minion Pro" w:cs="Minion Pro"/>
          <w:i/>
          <w:iCs/>
          <w:sz w:val="22"/>
          <w:lang w:val="en-US"/>
        </w:rPr>
        <w:t>ôros</w:t>
      </w:r>
      <w:r w:rsidRPr="00407C2A">
        <w:rPr>
          <w:rFonts w:ascii="Minion Pro" w:hAnsi="Minion Pro" w:cs="Minion Pro"/>
          <w:sz w:val="22"/>
          <w:lang w:val="en-US"/>
        </w:rPr>
        <w:t>), langue (</w:t>
      </w:r>
      <w:r w:rsidRPr="00407C2A">
        <w:rPr>
          <w:rFonts w:ascii="Minion Pro" w:hAnsi="Minion Pro" w:cs="Minion Pro"/>
          <w:i/>
          <w:iCs/>
          <w:sz w:val="22"/>
          <w:lang w:val="en-US"/>
        </w:rPr>
        <w:t>glôtta</w:t>
      </w:r>
      <w:r w:rsidRPr="00407C2A">
        <w:rPr>
          <w:rFonts w:ascii="Minion Pro" w:hAnsi="Minion Pro" w:cs="Minion Pro"/>
          <w:sz w:val="22"/>
          <w:lang w:val="en-US"/>
        </w:rPr>
        <w:t>) et fesse (</w:t>
      </w:r>
      <w:r w:rsidRPr="00407C2A">
        <w:rPr>
          <w:rFonts w:ascii="Minion Pro" w:hAnsi="Minion Pro" w:cs="Minion Pro"/>
          <w:i/>
          <w:iCs/>
          <w:sz w:val="22"/>
          <w:lang w:val="en-US"/>
        </w:rPr>
        <w:t>pugè</w:t>
      </w:r>
      <w:r w:rsidRPr="00407C2A">
        <w:rPr>
          <w:rFonts w:ascii="Minion Pro" w:hAnsi="Minion Pro" w:cs="Minion Pro"/>
          <w:sz w:val="22"/>
          <w:lang w:val="en-US"/>
        </w:rPr>
        <w:t xml:space="preserve">) en revanche il utilise deux termes différents pour le pénis, d’abord </w:t>
      </w:r>
      <w:r w:rsidRPr="00407C2A">
        <w:rPr>
          <w:rFonts w:ascii="Minion Pro" w:hAnsi="Minion Pro" w:cs="Minion Pro"/>
          <w:i/>
          <w:iCs/>
          <w:sz w:val="22"/>
          <w:lang w:val="en-US"/>
        </w:rPr>
        <w:t xml:space="preserve">posthè </w:t>
      </w:r>
      <w:r w:rsidRPr="00407C2A">
        <w:rPr>
          <w:rFonts w:ascii="Minion Pro" w:hAnsi="Minion Pro" w:cs="Minion Pro"/>
          <w:sz w:val="22"/>
          <w:lang w:val="en-US"/>
        </w:rPr>
        <w:t xml:space="preserve">puis ensuite </w:t>
      </w:r>
      <w:r w:rsidRPr="00407C2A">
        <w:rPr>
          <w:rFonts w:ascii="Minion Pro" w:hAnsi="Minion Pro" w:cs="Minion Pro"/>
          <w:i/>
          <w:sz w:val="22"/>
          <w:lang w:val="en-US"/>
        </w:rPr>
        <w:t>kôlè</w:t>
      </w:r>
      <w:r w:rsidRPr="00407C2A">
        <w:rPr>
          <w:rFonts w:ascii="Minion Pro" w:hAnsi="Minion Pro" w:cs="Minion Pro"/>
          <w:sz w:val="22"/>
          <w:lang w:val="en-US"/>
        </w:rPr>
        <w:t xml:space="preserve"> qui signifie une jambe, un gigot chez un animal et donc par métaphore un sexe masculin.</w:t>
      </w:r>
    </w:p>
  </w:footnote>
  <w:footnote w:id="6">
    <w:p w:rsidR="00067DFA" w:rsidRPr="001822C0" w:rsidRDefault="00067DFA" w:rsidP="001942D4">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Voir pour cela le texte d’Athénée de Naucratis, </w:t>
      </w:r>
      <w:r w:rsidRPr="00407C2A">
        <w:rPr>
          <w:rFonts w:ascii="Minion Pro" w:hAnsi="Minion Pro" w:cs="Minion Pro"/>
          <w:i/>
          <w:iCs/>
          <w:sz w:val="22"/>
          <w:lang w:val="en-US"/>
        </w:rPr>
        <w:t>Les Deipnosophistes</w:t>
      </w:r>
      <w:r w:rsidRPr="00407C2A">
        <w:rPr>
          <w:rFonts w:ascii="Minion Pro" w:hAnsi="Minion Pro" w:cs="Minion Pro"/>
          <w:sz w:val="22"/>
          <w:lang w:val="en-US"/>
        </w:rPr>
        <w:t xml:space="preserve">, livre XIV, 622. Voir </w:t>
      </w:r>
      <w:r>
        <w:rPr>
          <w:rFonts w:ascii="Minion Pro" w:hAnsi="Minion Pro" w:cs="Minion Pro"/>
          <w:sz w:val="22"/>
          <w:lang w:val="en-US"/>
        </w:rPr>
        <w:t xml:space="preserve">pour une </w:t>
      </w:r>
      <w:r w:rsidRPr="00407C2A">
        <w:rPr>
          <w:rFonts w:ascii="Minion Pro" w:hAnsi="Minion Pro" w:cs="Minion Pro"/>
          <w:sz w:val="22"/>
          <w:lang w:val="en-US"/>
        </w:rPr>
        <w:t xml:space="preserve">étude plus approfondie de cette question l’ouvrage de Károly Kerényi, </w:t>
      </w:r>
      <w:r w:rsidRPr="00407C2A">
        <w:rPr>
          <w:rFonts w:ascii="Minion Pro" w:hAnsi="Minion Pro" w:cs="Minion Pro"/>
          <w:i/>
          <w:iCs/>
          <w:sz w:val="22"/>
          <w:lang w:val="en-US"/>
        </w:rPr>
        <w:t>Dionysis</w:t>
      </w:r>
      <w:r w:rsidRPr="00407C2A">
        <w:rPr>
          <w:rFonts w:ascii="Minion Pro" w:hAnsi="Minion Pro" w:cs="Minion Pro"/>
          <w:sz w:val="22"/>
          <w:lang w:val="en-US"/>
        </w:rPr>
        <w:t>, Adelphi, 1992.</w:t>
      </w:r>
      <w:r>
        <w:rPr>
          <w:rFonts w:ascii="Minion Pro" w:hAnsi="Minion Pro" w:cs="Minion Pro"/>
          <w:sz w:val="22"/>
          <w:lang w:val="en-US"/>
        </w:rPr>
        <w:t xml:space="preserve"> Voir encore Henri Jeanmaire, </w:t>
      </w:r>
      <w:r w:rsidRPr="001942D4">
        <w:rPr>
          <w:rFonts w:ascii="Minion Pro" w:hAnsi="Minion Pro" w:cs="Minion Pro"/>
          <w:i/>
          <w:sz w:val="22"/>
          <w:lang w:val="en-US"/>
        </w:rPr>
        <w:t>Dionysos. Histoire du culte de Bacchus</w:t>
      </w:r>
      <w:r>
        <w:rPr>
          <w:rFonts w:ascii="Minion Pro" w:hAnsi="Minion Pro" w:cs="Minion Pro"/>
          <w:sz w:val="22"/>
          <w:lang w:val="en-US"/>
        </w:rPr>
        <w:t xml:space="preserve">, Payot, 1951, le chapitre I et plus particulièrement p. 42. Pour plus de précision il faut se reporter à la lecture de la comédie des </w:t>
      </w:r>
      <w:r>
        <w:rPr>
          <w:rFonts w:ascii="Minion Pro" w:hAnsi="Minion Pro" w:cs="Minion Pro"/>
          <w:i/>
          <w:sz w:val="22"/>
          <w:lang w:val="en-US"/>
        </w:rPr>
        <w:t xml:space="preserve">Acharniens </w:t>
      </w:r>
      <w:r>
        <w:rPr>
          <w:rFonts w:ascii="Minion Pro" w:hAnsi="Minion Pro" w:cs="Minion Pro"/>
          <w:sz w:val="22"/>
          <w:lang w:val="en-US"/>
        </w:rPr>
        <w:t xml:space="preserve">d'Aristophane (426 AEC) et lire le cantique de Dicéopolis à Phalès ami de Bacchus (v. 247-280). </w:t>
      </w:r>
    </w:p>
  </w:footnote>
  <w:footnote w:id="7">
    <w:p w:rsidR="00067DFA" w:rsidRPr="00407C2A" w:rsidRDefault="00067DFA" w:rsidP="00407C2A">
      <w:pPr>
        <w:widowControl w:val="0"/>
        <w:autoSpaceDE w:val="0"/>
        <w:autoSpaceDN w:val="0"/>
        <w:adjustRightInd w:val="0"/>
        <w:ind w:right="114"/>
        <w:jc w:val="both"/>
        <w:rPr>
          <w:rFonts w:ascii="Minion Pro" w:hAnsi="Minion Pro" w:cs="Minion Pro"/>
          <w:sz w:val="22"/>
          <w:lang w:val="en-US"/>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Agdistis ou encore la déesse Cybelle. </w:t>
      </w:r>
    </w:p>
  </w:footnote>
  <w:footnote w:id="8">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5D6DB7">
        <w:rPr>
          <w:rFonts w:ascii="Minion Pro" w:hAnsi="Minion Pro" w:cs="Minion Pro"/>
          <w:i/>
          <w:sz w:val="22"/>
          <w:lang w:val="en-US"/>
        </w:rPr>
        <w:t>Hermaphrodite endormi</w:t>
      </w:r>
      <w:r w:rsidRPr="00407C2A">
        <w:rPr>
          <w:rFonts w:ascii="Minion Pro" w:hAnsi="Minion Pro" w:cs="Minion Pro"/>
          <w:sz w:val="22"/>
          <w:lang w:val="en-US"/>
        </w:rPr>
        <w:t xml:space="preserve"> ou dit </w:t>
      </w:r>
      <w:r w:rsidRPr="005D6DB7">
        <w:rPr>
          <w:rFonts w:ascii="Minion Pro" w:hAnsi="Minion Pro" w:cs="Minion Pro"/>
          <w:i/>
          <w:sz w:val="22"/>
          <w:lang w:val="en-US"/>
        </w:rPr>
        <w:t>Hermaphrodite Borghèse</w:t>
      </w:r>
      <w:r w:rsidRPr="00407C2A">
        <w:rPr>
          <w:rFonts w:ascii="Minion Pro" w:hAnsi="Minion Pro" w:cs="Minion Pro"/>
          <w:sz w:val="22"/>
          <w:lang w:val="en-US"/>
        </w:rPr>
        <w:t>, sculpture, copie d’un original grec probablement du II</w:t>
      </w:r>
      <w:r w:rsidRPr="005D6DB7">
        <w:rPr>
          <w:rFonts w:ascii="Minion Pro" w:hAnsi="Minion Pro" w:cs="Minion Pro"/>
          <w:sz w:val="22"/>
          <w:vertAlign w:val="superscript"/>
          <w:lang w:val="en-US"/>
        </w:rPr>
        <w:t>e</w:t>
      </w:r>
      <w:r w:rsidRPr="00407C2A">
        <w:rPr>
          <w:rFonts w:ascii="Minion Pro" w:hAnsi="Minion Pro" w:cs="Minion Pro"/>
          <w:sz w:val="22"/>
          <w:lang w:val="en-US"/>
        </w:rPr>
        <w:t xml:space="preserve"> siècle AEC, découvert en 1608. Après l’avoir acquise la famille Borghèse demanda au Bernin de sculpter un matelas. 169 x 89 cm, Musée du Louvre.</w:t>
      </w:r>
      <w:r w:rsidRPr="00407C2A">
        <w:rPr>
          <w:rFonts w:ascii="Minion Pro" w:hAnsi="Minion Pro"/>
          <w:sz w:val="22"/>
        </w:rPr>
        <w:t xml:space="preserve"> </w:t>
      </w:r>
    </w:p>
  </w:footnote>
  <w:footnote w:id="9">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Favorinos d’Arles ca. 90 - 150. Voir le texte de Ludovic Legré, </w:t>
      </w:r>
      <w:r w:rsidRPr="00407C2A">
        <w:rPr>
          <w:rFonts w:ascii="Minion Pro" w:hAnsi="Minion Pro" w:cs="Minion Pro"/>
          <w:i/>
          <w:iCs/>
          <w:sz w:val="22"/>
          <w:lang w:val="en-US"/>
        </w:rPr>
        <w:t>Favorin d’Arles, un philosophe provençal au temps des Antonins</w:t>
      </w:r>
      <w:r w:rsidRPr="00407C2A">
        <w:rPr>
          <w:rFonts w:ascii="Minion Pro" w:hAnsi="Minion Pro" w:cs="Minion Pro"/>
          <w:sz w:val="22"/>
          <w:lang w:val="en-US"/>
        </w:rPr>
        <w:t xml:space="preserve">, Aubertin et Rolle, 1900. Selon les sources Favorinos </w:t>
      </w:r>
      <w:r>
        <w:rPr>
          <w:rFonts w:ascii="Minion Pro" w:hAnsi="Minion Pro" w:cs="Minion Pro"/>
          <w:sz w:val="22"/>
          <w:lang w:val="en-US"/>
        </w:rPr>
        <w:t>serait</w:t>
      </w:r>
      <w:r w:rsidRPr="00407C2A">
        <w:rPr>
          <w:rFonts w:ascii="Minion Pro" w:hAnsi="Minion Pro" w:cs="Minion Pro"/>
          <w:sz w:val="22"/>
          <w:lang w:val="en-US"/>
        </w:rPr>
        <w:t xml:space="preserve"> né </w:t>
      </w:r>
      <w:r>
        <w:rPr>
          <w:rFonts w:ascii="Minion Pro" w:hAnsi="Minion Pro" w:cs="Minion Pro"/>
          <w:sz w:val="22"/>
          <w:lang w:val="en-US"/>
        </w:rPr>
        <w:t>intersexe</w:t>
      </w:r>
      <w:r w:rsidRPr="00407C2A">
        <w:rPr>
          <w:rFonts w:ascii="Minion Pro" w:hAnsi="Minion Pro" w:cs="Minion Pro"/>
          <w:sz w:val="22"/>
          <w:lang w:val="en-US"/>
        </w:rPr>
        <w:t>.</w:t>
      </w:r>
      <w:r>
        <w:rPr>
          <w:rFonts w:ascii="Minion Pro" w:hAnsi="Minion Pro" w:cs="Minion Pro"/>
          <w:sz w:val="22"/>
          <w:lang w:val="en-US"/>
        </w:rPr>
        <w:t xml:space="preserve"> Voir Favorinos d'Arles, </w:t>
      </w:r>
      <w:r w:rsidRPr="005D6DB7">
        <w:rPr>
          <w:rFonts w:ascii="Minion Pro" w:hAnsi="Minion Pro" w:cs="Minion Pro"/>
          <w:i/>
          <w:sz w:val="22"/>
          <w:lang w:val="en-US"/>
        </w:rPr>
        <w:t>Œuvre</w:t>
      </w:r>
      <w:r>
        <w:rPr>
          <w:rFonts w:ascii="Minion Pro" w:hAnsi="Minion Pro" w:cs="Minion Pro"/>
          <w:sz w:val="22"/>
          <w:lang w:val="en-US"/>
        </w:rPr>
        <w:t xml:space="preserve">, vol I, dir. Eugenio Amato, Les Belles Lettres, 2005 et Favorinos d'Arles, </w:t>
      </w:r>
      <w:r w:rsidRPr="005D6DB7">
        <w:rPr>
          <w:rFonts w:ascii="Minion Pro" w:hAnsi="Minion Pro" w:cs="Minion Pro"/>
          <w:i/>
          <w:sz w:val="22"/>
          <w:lang w:val="en-US"/>
        </w:rPr>
        <w:t>L'Exil</w:t>
      </w:r>
      <w:r>
        <w:rPr>
          <w:rFonts w:ascii="Minion Pro" w:hAnsi="Minion Pro" w:cs="Minion Pro"/>
          <w:sz w:val="22"/>
          <w:lang w:val="en-US"/>
        </w:rPr>
        <w:t xml:space="preserve">, dir. Fabien Vallos, éd. Mix., 2019. </w:t>
      </w:r>
    </w:p>
  </w:footnote>
  <w:footnote w:id="10">
    <w:p w:rsidR="00067DFA" w:rsidRPr="005D6DB7" w:rsidRDefault="00067DFA" w:rsidP="005D6DB7">
      <w:pPr>
        <w:pStyle w:val="Paragraphestandard"/>
        <w:spacing w:line="240" w:lineRule="auto"/>
        <w:jc w:val="both"/>
        <w:rPr>
          <w:rFonts w:ascii="Minion Pro" w:hAnsi="Minion Pro"/>
          <w:sz w:val="22"/>
          <w:szCs w:val="18"/>
        </w:rPr>
      </w:pPr>
      <w:r w:rsidRPr="005D6DB7">
        <w:rPr>
          <w:rStyle w:val="FootnoteReference"/>
          <w:sz w:val="22"/>
        </w:rPr>
        <w:footnoteRef/>
      </w:r>
      <w:r w:rsidRPr="005D6DB7">
        <w:rPr>
          <w:sz w:val="22"/>
        </w:rPr>
        <w:t xml:space="preserve"> Voir ici la pensée d'Empédocle et le célébère fragment 117D : </w:t>
      </w:r>
      <w:r w:rsidRPr="005D6DB7">
        <w:rPr>
          <w:sz w:val="22"/>
          <w:szCs w:val="18"/>
        </w:rPr>
        <w:t>« Ἤδη γάρ ποτ’ ἐγὼ γενόμην κοῦρός τε κόρη τε θάμνος τ’ οἰωνός τε καὶ ἔξαλος ἔλλοπος ἰ</w:t>
      </w:r>
      <w:r>
        <w:rPr>
          <w:sz w:val="22"/>
          <w:szCs w:val="18"/>
        </w:rPr>
        <w:t>χθύς</w:t>
      </w:r>
      <w:r w:rsidRPr="005D6DB7">
        <w:rPr>
          <w:rFonts w:ascii="Minion Pro" w:hAnsi="Minion Pro"/>
          <w:sz w:val="22"/>
          <w:szCs w:val="18"/>
        </w:rPr>
        <w:t xml:space="preserve">. </w:t>
      </w:r>
      <w:r w:rsidRPr="005D6DB7">
        <w:rPr>
          <w:rFonts w:ascii="Minion Pro" w:hAnsi="Minion Pro" w:cs="ACaslonPro-Italic"/>
          <w:i/>
          <w:iCs/>
          <w:sz w:val="22"/>
          <w:szCs w:val="18"/>
        </w:rPr>
        <w:t>Car j’ai été garçon et fille, arbuste et oiseau, et hors de l’eau un poisson muet.</w:t>
      </w:r>
      <w:r w:rsidRPr="005D6DB7">
        <w:rPr>
          <w:rFonts w:ascii="Minion Pro" w:hAnsi="Times New Roman" w:cs="Times New Roman"/>
          <w:sz w:val="22"/>
          <w:szCs w:val="18"/>
        </w:rPr>
        <w:t> </w:t>
      </w:r>
      <w:r w:rsidRPr="005D6DB7">
        <w:rPr>
          <w:rFonts w:ascii="Minion Pro" w:hAnsi="Minion Pro" w:cs="ACaslonPro-Regular"/>
          <w:sz w:val="22"/>
          <w:szCs w:val="18"/>
        </w:rPr>
        <w:t>»</w:t>
      </w:r>
    </w:p>
  </w:footnote>
  <w:footnote w:id="11">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On se souvient de la formule de Louis Bolk « l’homme est du point de vue corporel, un fœtus de primate parvenu à maturité sexuelle ». Ici il semblerait que pour la pensée grecque ce soit une inversion – ce que nous nommons une sexuation néoténique – en tant que l’homme a atteint une complète maturité corporelle, idéale mais avec une sexualité « immature », conceptuelle.</w:t>
      </w:r>
    </w:p>
  </w:footnote>
  <w:footnote w:id="12">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Terme pensé par Sándor Ferenczi in « L’homoérotisme : nosologie de l’homosexualité masculine », 1941 in </w:t>
      </w:r>
      <w:r w:rsidRPr="00407C2A">
        <w:rPr>
          <w:rFonts w:ascii="Minion Pro" w:hAnsi="Minion Pro" w:cs="Minion Pro"/>
          <w:i/>
          <w:iCs/>
          <w:sz w:val="22"/>
          <w:lang w:val="en-US"/>
        </w:rPr>
        <w:t>Psychanalyse</w:t>
      </w:r>
      <w:r w:rsidRPr="00407C2A">
        <w:rPr>
          <w:rFonts w:ascii="Minion Pro" w:hAnsi="Minion Pro" w:cs="Minion Pro"/>
          <w:sz w:val="22"/>
          <w:lang w:val="en-US"/>
        </w:rPr>
        <w:t>, II, Payot, 1994</w:t>
      </w:r>
      <w:r>
        <w:rPr>
          <w:rFonts w:ascii="Minion Pro" w:hAnsi="Minion Pro" w:cs="Minion Pro"/>
          <w:sz w:val="22"/>
          <w:lang w:val="en-US"/>
        </w:rPr>
        <w:t>.</w:t>
      </w:r>
    </w:p>
  </w:footnote>
  <w:footnote w:id="13">
    <w:p w:rsidR="00067DFA" w:rsidRPr="006B3136" w:rsidRDefault="00067DFA" w:rsidP="000A242C">
      <w:pPr>
        <w:jc w:val="both"/>
        <w:rPr>
          <w:rFonts w:ascii="Minion Pro" w:hAnsi="Minion Pro"/>
          <w:sz w:val="22"/>
          <w:szCs w:val="20"/>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Palazzo Schifanoia, </w:t>
      </w:r>
      <w:r w:rsidRPr="00407C2A">
        <w:rPr>
          <w:rFonts w:ascii="Minion Pro" w:hAnsi="Minion Pro" w:cs="Minion Pro"/>
          <w:i/>
          <w:iCs/>
          <w:sz w:val="22"/>
          <w:lang w:val="en-US"/>
        </w:rPr>
        <w:t>Salone dei Mesi</w:t>
      </w:r>
      <w:r w:rsidRPr="00407C2A">
        <w:rPr>
          <w:rFonts w:ascii="Minion Pro" w:hAnsi="Minion Pro" w:cs="Minion Pro"/>
          <w:sz w:val="22"/>
          <w:lang w:val="en-US"/>
        </w:rPr>
        <w:t>, ensemble de fresques réalisées par l’école ferraraise (dont Ercole da Roberti et Francesco del Cossa) et commandit</w:t>
      </w:r>
      <w:r>
        <w:rPr>
          <w:rFonts w:ascii="Minion Pro" w:hAnsi="Minion Pro" w:cs="Minion Pro"/>
          <w:sz w:val="22"/>
          <w:lang w:val="en-US"/>
        </w:rPr>
        <w:t>é</w:t>
      </w:r>
      <w:r w:rsidRPr="00407C2A">
        <w:rPr>
          <w:rFonts w:ascii="Minion Pro" w:hAnsi="Minion Pro" w:cs="Minion Pro"/>
          <w:sz w:val="22"/>
          <w:lang w:val="en-US"/>
        </w:rPr>
        <w:t xml:space="preserve"> par le </w:t>
      </w:r>
      <w:r>
        <w:rPr>
          <w:rFonts w:ascii="Minion Pro" w:hAnsi="Minion Pro" w:cs="Minion Pro"/>
          <w:sz w:val="22"/>
          <w:lang w:val="en-US"/>
        </w:rPr>
        <w:t xml:space="preserve">prince </w:t>
      </w:r>
      <w:r w:rsidRPr="00407C2A">
        <w:rPr>
          <w:rFonts w:ascii="Minion Pro" w:hAnsi="Minion Pro" w:cs="Minion Pro"/>
          <w:sz w:val="22"/>
          <w:lang w:val="en-US"/>
        </w:rPr>
        <w:t>Borso d’Este en 1470.</w:t>
      </w:r>
      <w:r>
        <w:rPr>
          <w:rFonts w:ascii="Minion Pro" w:hAnsi="Minion Pro" w:cs="Minion Pro"/>
          <w:sz w:val="22"/>
          <w:lang w:val="en-US"/>
        </w:rPr>
        <w:t xml:space="preserve"> On doit la redécouverte de ce cycle à Aby Warburg et son </w:t>
      </w:r>
      <w:r w:rsidRPr="006B3136">
        <w:rPr>
          <w:rFonts w:ascii="Minion Pro" w:hAnsi="Minion Pro" w:cs="Minion Pro"/>
          <w:sz w:val="22"/>
          <w:lang w:val="en-US"/>
        </w:rPr>
        <w:t xml:space="preserve">texte </w:t>
      </w:r>
      <w:r w:rsidRPr="006B3136">
        <w:rPr>
          <w:rFonts w:ascii="Minion Pro" w:hAnsi="Minion Pro"/>
          <w:color w:val="000000"/>
          <w:sz w:val="22"/>
          <w:szCs w:val="13"/>
          <w:shd w:val="clear" w:color="auto" w:fill="FFFFFF"/>
        </w:rPr>
        <w:t>« Art italien et astrologie internationale au palais de Schifanoia à Ferrare »</w:t>
      </w:r>
      <w:r>
        <w:rPr>
          <w:rFonts w:ascii="Minion Pro" w:hAnsi="Minion Pro"/>
          <w:color w:val="000000"/>
          <w:sz w:val="22"/>
          <w:szCs w:val="13"/>
          <w:shd w:val="clear" w:color="auto" w:fill="FFFFFF"/>
        </w:rPr>
        <w:t xml:space="preserve"> in </w:t>
      </w:r>
      <w:r w:rsidRPr="006B3136">
        <w:rPr>
          <w:rFonts w:ascii="Minion Pro" w:hAnsi="Minion Pro"/>
          <w:i/>
          <w:color w:val="000000"/>
          <w:sz w:val="22"/>
          <w:szCs w:val="13"/>
          <w:shd w:val="clear" w:color="auto" w:fill="FFFFFF"/>
        </w:rPr>
        <w:t>Essais florentins</w:t>
      </w:r>
      <w:r>
        <w:rPr>
          <w:rFonts w:ascii="Minion Pro" w:hAnsi="Minion Pro"/>
          <w:color w:val="000000"/>
          <w:sz w:val="22"/>
          <w:szCs w:val="13"/>
          <w:shd w:val="clear" w:color="auto" w:fill="FFFFFF"/>
        </w:rPr>
        <w:t xml:space="preserve">, Klincksieck, 2003, p. 197. </w:t>
      </w:r>
    </w:p>
  </w:footnote>
  <w:footnote w:id="14">
    <w:p w:rsidR="00067DFA" w:rsidRPr="00407C2A" w:rsidRDefault="00067DFA" w:rsidP="00407C2A">
      <w:pPr>
        <w:widowControl w:val="0"/>
        <w:autoSpaceDE w:val="0"/>
        <w:autoSpaceDN w:val="0"/>
        <w:adjustRightInd w:val="0"/>
        <w:ind w:right="114"/>
        <w:jc w:val="both"/>
        <w:rPr>
          <w:rFonts w:ascii="Minion Pro" w:hAnsi="Minion Pro" w:cs="Minion Pro"/>
          <w:sz w:val="22"/>
          <w:lang w:val="en-US"/>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Elle fut commissionnée en 1514 et livré</w:t>
      </w:r>
      <w:r>
        <w:rPr>
          <w:rFonts w:ascii="Minion Pro" w:hAnsi="Minion Pro" w:cs="Minion Pro"/>
          <w:sz w:val="22"/>
          <w:lang w:val="en-US"/>
        </w:rPr>
        <w:t>e</w:t>
      </w:r>
      <w:r w:rsidRPr="00407C2A">
        <w:rPr>
          <w:rFonts w:ascii="Minion Pro" w:hAnsi="Minion Pro" w:cs="Minion Pro"/>
          <w:sz w:val="22"/>
          <w:lang w:val="en-US"/>
        </w:rPr>
        <w:t xml:space="preserve"> </w:t>
      </w:r>
      <w:r>
        <w:rPr>
          <w:rFonts w:ascii="Minion Pro" w:hAnsi="Minion Pro" w:cs="Minion Pro"/>
          <w:sz w:val="22"/>
          <w:lang w:val="en-US"/>
        </w:rPr>
        <w:t>en 1521 à l’église Santa Maria s</w:t>
      </w:r>
      <w:r w:rsidRPr="00407C2A">
        <w:rPr>
          <w:rFonts w:ascii="Minion Pro" w:hAnsi="Minion Pro" w:cs="Minion Pro"/>
          <w:sz w:val="22"/>
          <w:lang w:val="en-US"/>
        </w:rPr>
        <w:t>opra Minerva à Rome. On connaît la longue histoire de cette sculpture et l’interruption d’une première sculpture à cause d’une veine n</w:t>
      </w:r>
      <w:r>
        <w:rPr>
          <w:rFonts w:ascii="Minion Pro" w:hAnsi="Minion Pro" w:cs="Minion Pro"/>
          <w:sz w:val="22"/>
          <w:lang w:val="en-US"/>
        </w:rPr>
        <w:t>oire dans le marbre apparue</w:t>
      </w:r>
      <w:r w:rsidRPr="00407C2A">
        <w:rPr>
          <w:rFonts w:ascii="Minion Pro" w:hAnsi="Minion Pro" w:cs="Minion Pro"/>
          <w:sz w:val="22"/>
          <w:lang w:val="en-US"/>
        </w:rPr>
        <w:t xml:space="preserve"> sur le visage du Christ. Cette sculpture a été retrouvée au monastère de </w:t>
      </w:r>
      <w:r>
        <w:rPr>
          <w:rFonts w:ascii="Minion Pro" w:hAnsi="Minion Pro" w:cs="Minion Pro"/>
          <w:sz w:val="22"/>
          <w:lang w:val="en-US"/>
        </w:rPr>
        <w:t>San Vincenzo à Bassano Romano.</w:t>
      </w:r>
    </w:p>
  </w:footnote>
  <w:footnote w:id="15">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Le contrat signé entre Metello Vari et Michelangelo le 14 juin 1514 stipule : « </w:t>
      </w:r>
      <w:r w:rsidRPr="00AE1170">
        <w:rPr>
          <w:rFonts w:ascii="Minion Pro" w:hAnsi="Minion Pro" w:cs="Minion Pro"/>
          <w:i/>
          <w:sz w:val="22"/>
          <w:lang w:val="en-US"/>
        </w:rPr>
        <w:t xml:space="preserve">a fare a </w:t>
      </w:r>
      <w:r w:rsidRPr="00AE1170">
        <w:rPr>
          <w:rFonts w:ascii="Minion Pro" w:hAnsi="Minion Pro" w:cs="Minion Pro"/>
          <w:i/>
          <w:iCs/>
          <w:sz w:val="22"/>
          <w:lang w:val="en-US"/>
        </w:rPr>
        <w:t>Michelagniolo di Lodovico Simoni</w:t>
      </w:r>
      <w:r w:rsidRPr="00AE1170">
        <w:rPr>
          <w:rFonts w:ascii="Minion Pro" w:hAnsi="Minion Pro" w:cs="Minion Pro"/>
          <w:i/>
          <w:sz w:val="22"/>
          <w:lang w:val="en-US"/>
        </w:rPr>
        <w:t xml:space="preserve"> scultore una figura di marmo d’un Cristo grande quanto el naturale, ignudo, dritto, cor una croce in braccio, in quell’attitudine che parrà al detto </w:t>
      </w:r>
      <w:r w:rsidRPr="00AE1170">
        <w:rPr>
          <w:rFonts w:ascii="Minion Pro" w:hAnsi="Minion Pro" w:cs="Minion Pro"/>
          <w:i/>
          <w:iCs/>
          <w:sz w:val="22"/>
          <w:lang w:val="en-US"/>
        </w:rPr>
        <w:t>Michelagniolo</w:t>
      </w:r>
      <w:r w:rsidRPr="00407C2A">
        <w:rPr>
          <w:rFonts w:ascii="Minion Pro" w:hAnsi="Minion Pro" w:cs="Minion Pro"/>
          <w:i/>
          <w:iCs/>
          <w:sz w:val="22"/>
          <w:lang w:val="en-US"/>
        </w:rPr>
        <w:t> ».</w:t>
      </w:r>
    </w:p>
  </w:footnote>
  <w:footnote w:id="16">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Il faut alors comprendre qu’en 1521 cette représentation est encore possible. Michelangelo est âgé de quarante six ans. En revanche en 1539, le Christ du </w:t>
      </w:r>
      <w:r w:rsidRPr="00407C2A">
        <w:rPr>
          <w:rFonts w:ascii="Minion Pro" w:hAnsi="Minion Pro" w:cs="Minion Pro"/>
          <w:i/>
          <w:iCs/>
          <w:sz w:val="22"/>
          <w:lang w:val="en-US"/>
        </w:rPr>
        <w:t>Jugement dernier</w:t>
      </w:r>
      <w:r w:rsidRPr="00407C2A">
        <w:rPr>
          <w:rFonts w:ascii="Minion Pro" w:hAnsi="Minion Pro" w:cs="Minion Pro"/>
          <w:sz w:val="22"/>
          <w:lang w:val="en-US"/>
        </w:rPr>
        <w:t>, n’apparaît plus de la même manière</w:t>
      </w:r>
      <w:r>
        <w:rPr>
          <w:rFonts w:ascii="Minion Pro" w:hAnsi="Minion Pro" w:cs="Minion Pro"/>
          <w:sz w:val="22"/>
          <w:lang w:val="en-US"/>
        </w:rPr>
        <w:t>, il a une attitude sévère de jugement et de reproche, parce que les temps ont changé et</w:t>
      </w:r>
      <w:r w:rsidRPr="00407C2A">
        <w:rPr>
          <w:rFonts w:ascii="Minion Pro" w:hAnsi="Minion Pro" w:cs="Minion Pro"/>
          <w:sz w:val="22"/>
          <w:lang w:val="en-US"/>
        </w:rPr>
        <w:t xml:space="preserve"> parce que nous sommes à quelques mois de l’ouverture du Concile de Trente</w:t>
      </w:r>
      <w:r>
        <w:rPr>
          <w:rFonts w:ascii="Minion Pro" w:hAnsi="Minion Pro" w:cs="Minion Pro"/>
          <w:sz w:val="22"/>
          <w:lang w:val="en-US"/>
        </w:rPr>
        <w:t xml:space="preserve"> (1542)</w:t>
      </w:r>
      <w:r w:rsidRPr="00407C2A">
        <w:rPr>
          <w:rFonts w:ascii="Minion Pro" w:hAnsi="Minion Pro" w:cs="Minion Pro"/>
          <w:sz w:val="22"/>
          <w:lang w:val="en-US"/>
        </w:rPr>
        <w:t>.</w:t>
      </w:r>
    </w:p>
  </w:footnote>
  <w:footnote w:id="17">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i/>
          <w:iCs/>
          <w:sz w:val="22"/>
          <w:lang w:val="en-US"/>
        </w:rPr>
        <w:t>Alabardiere</w:t>
      </w:r>
      <w:r w:rsidRPr="00407C2A">
        <w:rPr>
          <w:rFonts w:ascii="Minion Pro" w:hAnsi="Minion Pro" w:cs="Minion Pro"/>
          <w:sz w:val="22"/>
          <w:lang w:val="en-US"/>
        </w:rPr>
        <w:t>, ca</w:t>
      </w:r>
      <w:r>
        <w:rPr>
          <w:rFonts w:ascii="Minion Pro" w:hAnsi="Minion Pro" w:cs="Minion Pro"/>
          <w:sz w:val="22"/>
          <w:lang w:val="en-US"/>
        </w:rPr>
        <w:t>.</w:t>
      </w:r>
      <w:r w:rsidRPr="00407C2A">
        <w:rPr>
          <w:rFonts w:ascii="Minion Pro" w:hAnsi="Minion Pro" w:cs="Minion Pro"/>
          <w:sz w:val="22"/>
          <w:lang w:val="en-US"/>
        </w:rPr>
        <w:t xml:space="preserve"> 1529-1530, Paul Gett</w:t>
      </w:r>
      <w:r>
        <w:rPr>
          <w:rFonts w:ascii="Minion Pro" w:hAnsi="Minion Pro" w:cs="Minion Pro"/>
          <w:sz w:val="22"/>
          <w:lang w:val="en-US"/>
        </w:rPr>
        <w:t>y Museum, Los Angeles, 95x73 cm;</w:t>
      </w:r>
      <w:r w:rsidRPr="00407C2A">
        <w:rPr>
          <w:rFonts w:ascii="Minion Pro" w:hAnsi="Minion Pro" w:cs="Minion Pro"/>
          <w:sz w:val="22"/>
          <w:lang w:val="en-US"/>
        </w:rPr>
        <w:t xml:space="preserve"> </w:t>
      </w:r>
      <w:r w:rsidRPr="00407C2A">
        <w:rPr>
          <w:rFonts w:ascii="Minion Pro" w:hAnsi="Minion Pro" w:cs="Minion Pro"/>
          <w:i/>
          <w:iCs/>
          <w:sz w:val="22"/>
          <w:lang w:val="en-US"/>
        </w:rPr>
        <w:t>Ritratto di giovane uomo con berretto rosso</w:t>
      </w:r>
      <w:r w:rsidRPr="00407C2A">
        <w:rPr>
          <w:rFonts w:ascii="Minion Pro" w:hAnsi="Minion Pro" w:cs="Minion Pro"/>
          <w:sz w:val="22"/>
          <w:lang w:val="en-US"/>
        </w:rPr>
        <w:t xml:space="preserve">, ca 1530, 93x73, col. privée. Voir </w:t>
      </w:r>
      <w:r w:rsidRPr="00407C2A">
        <w:rPr>
          <w:rFonts w:ascii="Minion Pro" w:hAnsi="Minion Pro" w:cs="Minion Pro"/>
          <w:i/>
          <w:iCs/>
          <w:sz w:val="22"/>
          <w:lang w:val="en-US"/>
        </w:rPr>
        <w:t>Incontri miracolosi: Pontormo dal disegno alla pittura</w:t>
      </w:r>
      <w:r w:rsidRPr="00407C2A">
        <w:rPr>
          <w:rFonts w:ascii="Minion Pro" w:hAnsi="Minion Pro" w:cs="Minion Pro"/>
          <w:sz w:val="22"/>
          <w:lang w:val="en-US"/>
        </w:rPr>
        <w:t>, dir. B. Edelstein et D. Gasparotto, Giunti, 2018 (cat. exposition éponyme au Palazzo Pitti</w:t>
      </w:r>
      <w:r>
        <w:rPr>
          <w:rFonts w:ascii="Minion Pro" w:hAnsi="Minion Pro" w:cs="Minion Pro"/>
          <w:sz w:val="22"/>
          <w:lang w:val="en-US"/>
        </w:rPr>
        <w:t>, été 2018</w:t>
      </w:r>
      <w:r w:rsidRPr="00407C2A">
        <w:rPr>
          <w:rFonts w:ascii="Minion Pro" w:hAnsi="Minion Pro" w:cs="Minion Pro"/>
          <w:sz w:val="22"/>
          <w:lang w:val="en-US"/>
        </w:rPr>
        <w:t>).</w:t>
      </w:r>
    </w:p>
  </w:footnote>
  <w:footnote w:id="18">
    <w:p w:rsidR="00067DFA" w:rsidRPr="00407C2A" w:rsidRDefault="00067DFA" w:rsidP="00407C2A">
      <w:pPr>
        <w:pStyle w:val="FootnoteText"/>
        <w:jc w:val="both"/>
        <w:rPr>
          <w:rFonts w:ascii="Minion Pro" w:hAnsi="Minion Pro"/>
          <w:sz w:val="22"/>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La première moitié du XVI</w:t>
      </w:r>
      <w:r w:rsidRPr="00AE1170">
        <w:rPr>
          <w:rFonts w:ascii="Minion Pro" w:hAnsi="Minion Pro" w:cs="Minion Pro"/>
          <w:sz w:val="22"/>
          <w:vertAlign w:val="superscript"/>
          <w:lang w:val="en-US"/>
        </w:rPr>
        <w:t>e</w:t>
      </w:r>
      <w:r w:rsidRPr="00407C2A">
        <w:rPr>
          <w:rFonts w:ascii="Minion Pro" w:hAnsi="Minion Pro" w:cs="Minion Pro"/>
          <w:sz w:val="22"/>
          <w:lang w:val="en-US"/>
        </w:rPr>
        <w:t xml:space="preserve"> siècle se trouve donc être </w:t>
      </w:r>
      <w:r>
        <w:rPr>
          <w:rFonts w:ascii="Minion Pro" w:hAnsi="Minion Pro" w:cs="Minion Pro"/>
          <w:sz w:val="22"/>
          <w:lang w:val="en-US"/>
        </w:rPr>
        <w:t xml:space="preserve">paradoxalement, </w:t>
      </w:r>
      <w:r w:rsidRPr="00407C2A">
        <w:rPr>
          <w:rFonts w:ascii="Minion Pro" w:hAnsi="Minion Pro" w:cs="Minion Pro"/>
          <w:sz w:val="22"/>
          <w:lang w:val="en-US"/>
        </w:rPr>
        <w:t xml:space="preserve">à la fois la représentation d’une réduction « sculpturale » des sexes et </w:t>
      </w:r>
      <w:r>
        <w:rPr>
          <w:rFonts w:ascii="Minion Pro" w:hAnsi="Minion Pro" w:cs="Minion Pro"/>
          <w:sz w:val="22"/>
          <w:lang w:val="en-US"/>
        </w:rPr>
        <w:t>d'</w:t>
      </w:r>
      <w:r w:rsidRPr="00407C2A">
        <w:rPr>
          <w:rFonts w:ascii="Minion Pro" w:hAnsi="Minion Pro" w:cs="Minion Pro"/>
          <w:sz w:val="22"/>
          <w:lang w:val="en-US"/>
        </w:rPr>
        <w:t>une hypertrophie « </w:t>
      </w:r>
      <w:r>
        <w:rPr>
          <w:rFonts w:ascii="Minion Pro" w:hAnsi="Minion Pro" w:cs="Minion Pro"/>
          <w:sz w:val="22"/>
          <w:lang w:val="en-US"/>
        </w:rPr>
        <w:t xml:space="preserve">vestimentaire </w:t>
      </w:r>
      <w:r w:rsidRPr="00407C2A">
        <w:rPr>
          <w:rFonts w:ascii="Minion Pro" w:hAnsi="Minion Pro" w:cs="Minion Pro"/>
          <w:sz w:val="22"/>
          <w:lang w:val="en-US"/>
        </w:rPr>
        <w:t>» avec la mode des braguettes.</w:t>
      </w:r>
    </w:p>
  </w:footnote>
  <w:footnote w:id="19">
    <w:p w:rsidR="00067DFA" w:rsidRPr="00407C2A" w:rsidRDefault="00067DFA" w:rsidP="00407C2A">
      <w:pPr>
        <w:widowControl w:val="0"/>
        <w:autoSpaceDE w:val="0"/>
        <w:autoSpaceDN w:val="0"/>
        <w:adjustRightInd w:val="0"/>
        <w:ind w:right="114"/>
        <w:jc w:val="both"/>
        <w:rPr>
          <w:rFonts w:ascii="Minion Pro" w:hAnsi="Minion Pro" w:cs="Minion Pro"/>
          <w:sz w:val="22"/>
          <w:lang w:val="en-US"/>
        </w:rPr>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 xml:space="preserve">Indiquons ici que le terme </w:t>
      </w:r>
      <w:r w:rsidRPr="00407C2A">
        <w:rPr>
          <w:rFonts w:ascii="Minion Pro" w:hAnsi="Minion Pro" w:cs="Minion Pro"/>
          <w:i/>
          <w:iCs/>
          <w:sz w:val="22"/>
          <w:lang w:val="en-US"/>
        </w:rPr>
        <w:t>erôè</w:t>
      </w:r>
      <w:r w:rsidRPr="00407C2A">
        <w:rPr>
          <w:rFonts w:ascii="Minion Pro" w:hAnsi="Minion Pro" w:cs="Minion Pro"/>
          <w:sz w:val="22"/>
          <w:lang w:val="en-US"/>
        </w:rPr>
        <w:t xml:space="preserve"> provient du verbe </w:t>
      </w:r>
      <w:r w:rsidRPr="00407C2A">
        <w:rPr>
          <w:rFonts w:ascii="Minion Pro" w:hAnsi="Minion Pro" w:cs="Minion Pro"/>
          <w:i/>
          <w:iCs/>
          <w:sz w:val="22"/>
          <w:lang w:val="en-US"/>
        </w:rPr>
        <w:t>rhéein</w:t>
      </w:r>
      <w:r w:rsidRPr="00407C2A">
        <w:rPr>
          <w:rFonts w:ascii="Minion Pro" w:hAnsi="Minion Pro" w:cs="Minion Pro"/>
          <w:sz w:val="22"/>
          <w:lang w:val="en-US"/>
        </w:rPr>
        <w:t xml:space="preserve"> qui signifie couler, passer, être en mouvement, comme le terme </w:t>
      </w:r>
      <w:r w:rsidRPr="00407C2A">
        <w:rPr>
          <w:rFonts w:ascii="Minion Pro" w:hAnsi="Minion Pro" w:cs="Minion Pro"/>
          <w:i/>
          <w:iCs/>
          <w:sz w:val="22"/>
          <w:lang w:val="en-US"/>
        </w:rPr>
        <w:t>rhuthmos</w:t>
      </w:r>
      <w:r w:rsidRPr="00407C2A">
        <w:rPr>
          <w:rFonts w:ascii="Minion Pro" w:hAnsi="Minion Pro" w:cs="Minion Pro"/>
          <w:sz w:val="22"/>
          <w:lang w:val="en-US"/>
        </w:rPr>
        <w:t xml:space="preserve">. Il y a donc une relation continue entre </w:t>
      </w:r>
      <w:r w:rsidRPr="00407C2A">
        <w:rPr>
          <w:rFonts w:ascii="Minion Pro" w:hAnsi="Minion Pro" w:cs="Minion Pro"/>
          <w:i/>
          <w:iCs/>
          <w:sz w:val="22"/>
          <w:lang w:val="en-US"/>
        </w:rPr>
        <w:t>érotisme</w:t>
      </w:r>
      <w:r w:rsidRPr="00407C2A">
        <w:rPr>
          <w:rFonts w:ascii="Minion Pro" w:hAnsi="Minion Pro" w:cs="Minion Pro"/>
          <w:sz w:val="22"/>
          <w:lang w:val="en-US"/>
        </w:rPr>
        <w:t xml:space="preserve"> et </w:t>
      </w:r>
      <w:r w:rsidRPr="00407C2A">
        <w:rPr>
          <w:rFonts w:ascii="Minion Pro" w:hAnsi="Minion Pro" w:cs="Minion Pro"/>
          <w:i/>
          <w:iCs/>
          <w:sz w:val="22"/>
          <w:lang w:val="en-US"/>
        </w:rPr>
        <w:t>rythme</w:t>
      </w:r>
      <w:r w:rsidRPr="00407C2A">
        <w:rPr>
          <w:rFonts w:ascii="Minion Pro" w:hAnsi="Minion Pro" w:cs="Minion Pro"/>
          <w:sz w:val="22"/>
          <w:lang w:val="en-US"/>
        </w:rPr>
        <w:t xml:space="preserve">, c’est-à-dire le mouvement plus ou moins « ordonné » des choses. </w:t>
      </w:r>
    </w:p>
  </w:footnote>
  <w:footnote w:id="20">
    <w:p w:rsidR="00067DFA" w:rsidRPr="00FE319E" w:rsidRDefault="00067DFA" w:rsidP="00AE1170">
      <w:pPr>
        <w:pStyle w:val="FootnoteText"/>
        <w:jc w:val="both"/>
        <w:rPr>
          <w:rFonts w:ascii="Minion Pro" w:hAnsi="Minion Pro"/>
        </w:rPr>
      </w:pPr>
      <w:r w:rsidRPr="00FE319E">
        <w:rPr>
          <w:rStyle w:val="FootnoteReference"/>
          <w:rFonts w:ascii="Minion Pro" w:hAnsi="Minion Pro"/>
          <w:sz w:val="22"/>
        </w:rPr>
        <w:footnoteRef/>
      </w:r>
      <w:r w:rsidRPr="00FE319E">
        <w:rPr>
          <w:rFonts w:ascii="Minion Pro" w:hAnsi="Minion Pro"/>
        </w:rPr>
        <w:t xml:space="preserve"> </w:t>
      </w:r>
      <w:r w:rsidRPr="00FE319E">
        <w:rPr>
          <w:rFonts w:ascii="Minion Pro" w:hAnsi="Minion Pro" w:cs="Minion Pro"/>
          <w:sz w:val="22"/>
          <w:lang w:val="en-US"/>
        </w:rPr>
        <w:t>La fresque a été réalisé</w:t>
      </w:r>
      <w:r>
        <w:rPr>
          <w:rFonts w:ascii="Minion Pro" w:hAnsi="Minion Pro" w:cs="Minion Pro"/>
          <w:sz w:val="22"/>
          <w:lang w:val="en-US"/>
        </w:rPr>
        <w:t>e</w:t>
      </w:r>
      <w:r w:rsidRPr="00FE319E">
        <w:rPr>
          <w:rFonts w:ascii="Minion Pro" w:hAnsi="Minion Pro" w:cs="Minion Pro"/>
          <w:sz w:val="22"/>
          <w:lang w:val="en-US"/>
        </w:rPr>
        <w:t xml:space="preserve"> en</w:t>
      </w:r>
      <w:r>
        <w:rPr>
          <w:rFonts w:ascii="Minion Pro" w:hAnsi="Minion Pro" w:cs="Minion Pro"/>
          <w:sz w:val="22"/>
          <w:lang w:val="en-US"/>
        </w:rPr>
        <w:t>tre</w:t>
      </w:r>
      <w:r w:rsidRPr="00FE319E">
        <w:rPr>
          <w:rFonts w:ascii="Minion Pro" w:hAnsi="Minion Pro" w:cs="Minion Pro"/>
          <w:sz w:val="22"/>
          <w:lang w:val="en-US"/>
        </w:rPr>
        <w:t xml:space="preserve"> 1519 et 1521 pour une des lunette</w:t>
      </w:r>
      <w:r>
        <w:rPr>
          <w:rFonts w:ascii="Minion Pro" w:hAnsi="Minion Pro" w:cs="Minion Pro"/>
          <w:sz w:val="22"/>
          <w:lang w:val="en-US"/>
        </w:rPr>
        <w:t>s du grand salon de la villa médi</w:t>
      </w:r>
      <w:r w:rsidRPr="00FE319E">
        <w:rPr>
          <w:rFonts w:ascii="Minion Pro" w:hAnsi="Minion Pro" w:cs="Minion Pro"/>
          <w:sz w:val="22"/>
          <w:lang w:val="en-US"/>
        </w:rPr>
        <w:t>céenne de Poggio a Caiano (461x990</w:t>
      </w:r>
      <w:r>
        <w:rPr>
          <w:rFonts w:ascii="Minion Pro" w:hAnsi="Minion Pro" w:cs="Minion Pro"/>
          <w:sz w:val="22"/>
          <w:lang w:val="en-US"/>
        </w:rPr>
        <w:t xml:space="preserve"> </w:t>
      </w:r>
      <w:r w:rsidRPr="00FE319E">
        <w:rPr>
          <w:rFonts w:ascii="Minion Pro" w:hAnsi="Minion Pro" w:cs="Minion Pro"/>
          <w:sz w:val="22"/>
          <w:lang w:val="en-US"/>
        </w:rPr>
        <w:t xml:space="preserve">cm). Quant au dessin, il s’agit d’une sanguine et crayon noir, 29x27,6 cm, </w:t>
      </w:r>
      <w:r>
        <w:rPr>
          <w:rFonts w:ascii="Minion Pro" w:hAnsi="Minion Pro" w:cs="Minion Pro"/>
          <w:sz w:val="22"/>
          <w:lang w:val="en-US"/>
        </w:rPr>
        <w:t xml:space="preserve">il est conservé au </w:t>
      </w:r>
      <w:r w:rsidRPr="00FE319E">
        <w:rPr>
          <w:rFonts w:ascii="Minion Pro" w:hAnsi="Minion Pro" w:cs="Minion Pro"/>
          <w:sz w:val="22"/>
          <w:lang w:val="en-US"/>
        </w:rPr>
        <w:t>Musée des Offices, Florence, Inv. 6599Fr.</w:t>
      </w:r>
      <w:r>
        <w:rPr>
          <w:rFonts w:ascii="Minion Pro" w:hAnsi="Minion Pro" w:cs="Minion Pro"/>
          <w:sz w:val="22"/>
          <w:lang w:val="en-US"/>
        </w:rPr>
        <w:t xml:space="preserve"> On pourra aussi reporter aux autres dessins préparatoire, Inv. 6515Fr. et 6685Fr., in </w:t>
      </w:r>
      <w:r w:rsidRPr="00EB4629">
        <w:rPr>
          <w:rFonts w:ascii="Minion Pro" w:hAnsi="Minion Pro" w:cs="Minion Pro"/>
          <w:i/>
          <w:sz w:val="22"/>
          <w:lang w:val="en-US"/>
        </w:rPr>
        <w:t>Disegni</w:t>
      </w:r>
      <w:r>
        <w:rPr>
          <w:rFonts w:ascii="Minion Pro" w:hAnsi="Minion Pro" w:cs="Minion Pro"/>
          <w:sz w:val="22"/>
          <w:lang w:val="en-US"/>
        </w:rPr>
        <w:t xml:space="preserve">, dir. S. Nigro, Costa &amp; Nolan, 1991. </w:t>
      </w:r>
    </w:p>
  </w:footnote>
  <w:footnote w:id="21">
    <w:p w:rsidR="00067DFA" w:rsidRPr="00067DFA" w:rsidRDefault="00067DFA">
      <w:pPr>
        <w:pStyle w:val="FootnoteText"/>
        <w:rPr>
          <w:sz w:val="22"/>
        </w:rPr>
      </w:pPr>
      <w:r w:rsidRPr="00067DFA">
        <w:rPr>
          <w:rStyle w:val="FootnoteReference"/>
          <w:sz w:val="22"/>
        </w:rPr>
        <w:footnoteRef/>
      </w:r>
      <w:r w:rsidRPr="00067DFA">
        <w:rPr>
          <w:sz w:val="22"/>
        </w:rPr>
        <w:t xml:space="preserve"> Rapellons ici son autoportrait, daté de 1525 et conservé au British Musem. </w:t>
      </w:r>
    </w:p>
  </w:footnote>
  <w:footnote w:id="22">
    <w:p w:rsidR="00067DFA" w:rsidRDefault="00067DFA" w:rsidP="00B179E8">
      <w:pPr>
        <w:pStyle w:val="FootnoteText"/>
        <w:jc w:val="both"/>
      </w:pPr>
      <w:r w:rsidRPr="00407C2A">
        <w:rPr>
          <w:rStyle w:val="FootnoteReference"/>
          <w:rFonts w:ascii="Minion Pro" w:hAnsi="Minion Pro"/>
          <w:sz w:val="22"/>
        </w:rPr>
        <w:footnoteRef/>
      </w:r>
      <w:r w:rsidRPr="00407C2A">
        <w:rPr>
          <w:rFonts w:ascii="Minion Pro" w:hAnsi="Minion Pro"/>
          <w:sz w:val="22"/>
        </w:rPr>
        <w:t xml:space="preserve"> </w:t>
      </w:r>
      <w:r w:rsidRPr="00407C2A">
        <w:rPr>
          <w:rFonts w:ascii="Minion Pro" w:hAnsi="Minion Pro" w:cs="Minion Pro"/>
          <w:sz w:val="22"/>
          <w:lang w:val="en-US"/>
        </w:rPr>
        <w:t>À partir de la seconde moitié du XVI</w:t>
      </w:r>
      <w:r w:rsidRPr="00407C2A">
        <w:rPr>
          <w:rFonts w:ascii="Minion Pro" w:hAnsi="Minion Pro" w:cs="Minion Pro"/>
          <w:sz w:val="22"/>
          <w:vertAlign w:val="superscript"/>
          <w:lang w:val="en-US"/>
        </w:rPr>
        <w:t>e</w:t>
      </w:r>
      <w:r w:rsidRPr="00407C2A">
        <w:rPr>
          <w:rFonts w:ascii="Minion Pro" w:hAnsi="Minion Pro" w:cs="Minion Pro"/>
          <w:sz w:val="22"/>
          <w:lang w:val="en-US"/>
        </w:rPr>
        <w:t xml:space="preserve"> siècle et de la Contre-Réforme, jusqu’à la moitié du XX</w:t>
      </w:r>
      <w:r w:rsidRPr="00407C2A">
        <w:rPr>
          <w:rFonts w:ascii="Minion Pro" w:hAnsi="Minion Pro" w:cs="Minion Pro"/>
          <w:sz w:val="22"/>
          <w:vertAlign w:val="superscript"/>
          <w:lang w:val="en-US"/>
        </w:rPr>
        <w:t>e</w:t>
      </w:r>
      <w:r w:rsidRPr="00407C2A">
        <w:rPr>
          <w:rFonts w:ascii="Minion Pro" w:hAnsi="Minion Pro" w:cs="Minion Pro"/>
          <w:sz w:val="22"/>
          <w:lang w:val="en-US"/>
        </w:rPr>
        <w:t xml:space="preserve"> les corps s’habillent et la représentation de la nudité se clôt. Le XIX</w:t>
      </w:r>
      <w:r w:rsidRPr="00407C2A">
        <w:rPr>
          <w:rFonts w:ascii="Minion Pro" w:hAnsi="Minion Pro" w:cs="Minion Pro"/>
          <w:sz w:val="22"/>
          <w:vertAlign w:val="superscript"/>
          <w:lang w:val="en-US"/>
        </w:rPr>
        <w:t>e</w:t>
      </w:r>
      <w:r w:rsidRPr="00407C2A">
        <w:rPr>
          <w:rFonts w:ascii="Minion Pro" w:hAnsi="Minion Pro" w:cs="Minion Pro"/>
          <w:sz w:val="22"/>
          <w:lang w:val="en-US"/>
        </w:rPr>
        <w:t xml:space="preserve"> siècle a tenté alors deux épreuves, celle de la représentation « naturelle » des sexes (ce que tenta Gustave Courbet</w:t>
      </w:r>
      <w:r>
        <w:rPr>
          <w:rFonts w:ascii="Minion Pro" w:hAnsi="Minion Pro" w:cs="Minion Pro"/>
          <w:sz w:val="22"/>
          <w:lang w:val="en-US"/>
        </w:rPr>
        <w:t xml:space="preserve">, </w:t>
      </w:r>
      <w:r w:rsidRPr="00630BD3">
        <w:rPr>
          <w:rFonts w:ascii="Minion Pro" w:hAnsi="Minion Pro" w:cs="Minion Pro"/>
          <w:i/>
          <w:sz w:val="22"/>
          <w:lang w:val="en-US"/>
        </w:rPr>
        <w:t>L'Origine du monde</w:t>
      </w:r>
      <w:r>
        <w:rPr>
          <w:rFonts w:ascii="Minion Pro" w:hAnsi="Minion Pro" w:cs="Minion Pro"/>
          <w:sz w:val="22"/>
          <w:lang w:val="en-US"/>
        </w:rPr>
        <w:t>, 1866, Musée d'Orsay, Paris</w:t>
      </w:r>
      <w:r w:rsidRPr="00407C2A">
        <w:rPr>
          <w:rFonts w:ascii="Minion Pro" w:hAnsi="Minion Pro" w:cs="Minion Pro"/>
          <w:sz w:val="22"/>
          <w:lang w:val="en-US"/>
        </w:rPr>
        <w:t>) et celle de la transposition de la nudité « renaissante » dans les usages</w:t>
      </w:r>
      <w:r>
        <w:rPr>
          <w:rFonts w:ascii="Minion Pro" w:hAnsi="Minion Pro" w:cs="Minion Pro"/>
          <w:sz w:val="22"/>
          <w:lang w:val="en-US"/>
        </w:rPr>
        <w:t xml:space="preserve"> les plus quotidiens du vivant</w:t>
      </w:r>
      <w:r w:rsidRPr="00407C2A">
        <w:rPr>
          <w:rFonts w:ascii="Minion Pro" w:hAnsi="Minion Pro" w:cs="Minion Pro"/>
          <w:sz w:val="22"/>
          <w:lang w:val="en-US"/>
        </w:rPr>
        <w:t xml:space="preserve"> (ce que t</w:t>
      </w:r>
      <w:r>
        <w:rPr>
          <w:rFonts w:ascii="Minion Pro" w:hAnsi="Minion Pro" w:cs="Minion Pro"/>
          <w:sz w:val="22"/>
          <w:lang w:val="en-US"/>
        </w:rPr>
        <w:t>enta, par exemple Édouard Manet avec</w:t>
      </w:r>
      <w:r w:rsidRPr="00407C2A">
        <w:rPr>
          <w:rFonts w:ascii="Minion Pro" w:hAnsi="Minion Pro" w:cs="Minion Pro"/>
          <w:sz w:val="22"/>
          <w:lang w:val="en-US"/>
        </w:rPr>
        <w:t xml:space="preserve"> </w:t>
      </w:r>
      <w:r w:rsidRPr="00407C2A">
        <w:rPr>
          <w:rFonts w:ascii="Minion Pro" w:hAnsi="Minion Pro" w:cs="Minion Pro"/>
          <w:i/>
          <w:iCs/>
          <w:sz w:val="22"/>
          <w:lang w:val="en-US"/>
        </w:rPr>
        <w:t>Le déjeuner sur l’herbe</w:t>
      </w:r>
      <w:r>
        <w:rPr>
          <w:rFonts w:ascii="Minion Pro" w:hAnsi="Minion Pro" w:cs="Minion Pro"/>
          <w:sz w:val="22"/>
          <w:lang w:val="en-US"/>
        </w:rPr>
        <w:t xml:space="preserve"> en</w:t>
      </w:r>
      <w:r w:rsidRPr="00407C2A">
        <w:rPr>
          <w:rFonts w:ascii="Minion Pro" w:hAnsi="Minion Pro" w:cs="Minion Pro"/>
          <w:sz w:val="22"/>
          <w:lang w:val="en-US"/>
        </w:rPr>
        <w:t xml:space="preserve"> </w:t>
      </w:r>
      <w:r>
        <w:rPr>
          <w:rFonts w:ascii="Minion Pro" w:hAnsi="Minion Pro" w:cs="Minion Pro"/>
          <w:sz w:val="22"/>
          <w:lang w:val="en-US"/>
        </w:rPr>
        <w:t>1863 (Musée d'Orsay, Paris) ou encore Frédéric Bazille avec cette très facinante peinture</w:t>
      </w:r>
      <w:r w:rsidRPr="00407C2A">
        <w:rPr>
          <w:rFonts w:ascii="Minion Pro" w:hAnsi="Minion Pro" w:cs="Minion Pro"/>
          <w:sz w:val="22"/>
          <w:lang w:val="en-US"/>
        </w:rPr>
        <w:t xml:space="preserve"> </w:t>
      </w:r>
      <w:r w:rsidRPr="00407C2A">
        <w:rPr>
          <w:rFonts w:ascii="Minion Pro" w:hAnsi="Minion Pro" w:cs="Minion Pro"/>
          <w:i/>
          <w:iCs/>
          <w:sz w:val="22"/>
          <w:lang w:val="en-US"/>
        </w:rPr>
        <w:t>Le pêcheur à l’épervier</w:t>
      </w:r>
      <w:r>
        <w:rPr>
          <w:rFonts w:ascii="Minion Pro" w:hAnsi="Minion Pro" w:cs="Minion Pro"/>
          <w:sz w:val="22"/>
          <w:lang w:val="en-US"/>
        </w:rPr>
        <w:t xml:space="preserve"> en</w:t>
      </w:r>
      <w:r w:rsidRPr="00407C2A">
        <w:rPr>
          <w:rFonts w:ascii="Minion Pro" w:hAnsi="Minion Pro" w:cs="Minion Pro"/>
          <w:sz w:val="22"/>
          <w:lang w:val="en-US"/>
        </w:rPr>
        <w:t xml:space="preserve"> 1868</w:t>
      </w:r>
      <w:r>
        <w:rPr>
          <w:rFonts w:ascii="Minion Pro" w:hAnsi="Minion Pro" w:cs="Minion Pro"/>
          <w:sz w:val="22"/>
          <w:lang w:val="en-US"/>
        </w:rPr>
        <w:t xml:space="preserve"> (Fondation RAU pour le Tiers Monde, Zurick)</w:t>
      </w:r>
      <w:r w:rsidRPr="00407C2A">
        <w:rPr>
          <w:rFonts w:ascii="Minion Pro" w:hAnsi="Minion Pro" w:cs="Minion Pro"/>
          <w:sz w:val="22"/>
          <w:lang w:val="en-US"/>
        </w:rPr>
        <w:t xml:space="preserve"> et </w:t>
      </w:r>
      <w:r>
        <w:rPr>
          <w:rFonts w:ascii="Minion Pro" w:hAnsi="Minion Pro" w:cs="Minion Pro"/>
          <w:sz w:val="22"/>
          <w:lang w:val="en-US"/>
        </w:rPr>
        <w:t xml:space="preserve">avec </w:t>
      </w:r>
      <w:r w:rsidRPr="00407C2A">
        <w:rPr>
          <w:rFonts w:ascii="Minion Pro" w:hAnsi="Minion Pro" w:cs="Minion Pro"/>
          <w:i/>
          <w:iCs/>
          <w:sz w:val="22"/>
          <w:lang w:val="en-US"/>
        </w:rPr>
        <w:t>Scène d’été. Les baigneurs</w:t>
      </w:r>
      <w:r>
        <w:rPr>
          <w:rFonts w:ascii="Minion Pro" w:hAnsi="Minion Pro" w:cs="Minion Pro"/>
          <w:sz w:val="22"/>
          <w:lang w:val="en-US"/>
        </w:rPr>
        <w:t xml:space="preserve"> en</w:t>
      </w:r>
      <w:r w:rsidRPr="00407C2A">
        <w:rPr>
          <w:rFonts w:ascii="Minion Pro" w:hAnsi="Minion Pro" w:cs="Minion Pro"/>
          <w:sz w:val="22"/>
          <w:lang w:val="en-US"/>
        </w:rPr>
        <w:t xml:space="preserve"> 1869</w:t>
      </w:r>
      <w:r>
        <w:rPr>
          <w:rFonts w:ascii="Minion Pro" w:hAnsi="Minion Pro" w:cs="Minion Pro"/>
          <w:sz w:val="22"/>
          <w:lang w:val="en-US"/>
        </w:rPr>
        <w:t xml:space="preserve"> (Fogg Art Museum, Harvard, Boston)</w:t>
      </w:r>
      <w:r w:rsidRPr="00407C2A">
        <w:rPr>
          <w:rFonts w:ascii="Minion Pro" w:hAnsi="Minion Pro" w:cs="Minion Pro"/>
          <w:sz w:val="22"/>
          <w:lang w:val="en-US"/>
        </w:rP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397"/>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2E7909"/>
    <w:rsid w:val="00001CB7"/>
    <w:rsid w:val="00067DFA"/>
    <w:rsid w:val="000A242C"/>
    <w:rsid w:val="000C0381"/>
    <w:rsid w:val="00137157"/>
    <w:rsid w:val="001822C0"/>
    <w:rsid w:val="001942D4"/>
    <w:rsid w:val="00291713"/>
    <w:rsid w:val="00294BCE"/>
    <w:rsid w:val="002E7909"/>
    <w:rsid w:val="00407C2A"/>
    <w:rsid w:val="004E4454"/>
    <w:rsid w:val="004F0275"/>
    <w:rsid w:val="004F70DF"/>
    <w:rsid w:val="0050237D"/>
    <w:rsid w:val="00574303"/>
    <w:rsid w:val="005C2216"/>
    <w:rsid w:val="005D6DB7"/>
    <w:rsid w:val="00630BD3"/>
    <w:rsid w:val="006A4E21"/>
    <w:rsid w:val="006B3136"/>
    <w:rsid w:val="006E3A42"/>
    <w:rsid w:val="00767756"/>
    <w:rsid w:val="008C173A"/>
    <w:rsid w:val="00901FC6"/>
    <w:rsid w:val="009A2CB0"/>
    <w:rsid w:val="009B6ABC"/>
    <w:rsid w:val="009F3372"/>
    <w:rsid w:val="00AE1170"/>
    <w:rsid w:val="00B179E8"/>
    <w:rsid w:val="00C47016"/>
    <w:rsid w:val="00C50758"/>
    <w:rsid w:val="00D94DE0"/>
    <w:rsid w:val="00E356C4"/>
    <w:rsid w:val="00EB4629"/>
    <w:rsid w:val="00FE319E"/>
  </w:rsids>
  <m:mathPr>
    <m:mathFont m:val="Arial Unicode MS"/>
    <m:brkBin m:val="before"/>
    <m:brkBinSub m:val="--"/>
    <m:smallFrac m:val="off"/>
    <m:dispDef m:val="off"/>
    <m:lMargin m:val="0"/>
    <m:rMargin m:val="0"/>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F2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semiHidden/>
    <w:unhideWhenUsed/>
    <w:rsid w:val="002E7909"/>
  </w:style>
  <w:style w:type="character" w:customStyle="1" w:styleId="FootnoteTextChar">
    <w:name w:val="Footnote Text Char"/>
    <w:basedOn w:val="DefaultParagraphFont"/>
    <w:link w:val="FootnoteText"/>
    <w:uiPriority w:val="99"/>
    <w:semiHidden/>
    <w:rsid w:val="002E7909"/>
  </w:style>
  <w:style w:type="character" w:styleId="FootnoteReference">
    <w:name w:val="footnote reference"/>
    <w:basedOn w:val="DefaultParagraphFont"/>
    <w:uiPriority w:val="99"/>
    <w:semiHidden/>
    <w:unhideWhenUsed/>
    <w:rsid w:val="002E7909"/>
    <w:rPr>
      <w:vertAlign w:val="superscript"/>
    </w:rPr>
  </w:style>
  <w:style w:type="paragraph" w:customStyle="1" w:styleId="Aucunstyledeparagraphe">
    <w:name w:val="[Aucun style de paragraphe]"/>
    <w:rsid w:val="00001CB7"/>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customStyle="1" w:styleId="Paragraphestandard">
    <w:name w:val="[Paragraphe standard]"/>
    <w:basedOn w:val="Aucunstyledeparagraphe"/>
    <w:uiPriority w:val="99"/>
    <w:rsid w:val="00001CB7"/>
  </w:style>
</w:styles>
</file>

<file path=word/webSettings.xml><?xml version="1.0" encoding="utf-8"?>
<w:webSettings xmlns:r="http://schemas.openxmlformats.org/officeDocument/2006/relationships" xmlns:w="http://schemas.openxmlformats.org/wordprocessingml/2006/main">
  <w:divs>
    <w:div w:id="44793955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273</TotalTime>
  <Pages>8</Pages>
  <Words>2566</Words>
  <Characters>14628</Characters>
  <Application>Microsoft Word 12.1.0</Application>
  <DocSecurity>0</DocSecurity>
  <Lines>121</Lines>
  <Paragraphs>29</Paragraphs>
  <ScaleCrop>false</ScaleCrop>
  <Company>vallos corp.</Company>
  <LinksUpToDate>false</LinksUpToDate>
  <CharactersWithSpaces>17964</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A B</cp:lastModifiedBy>
  <cp:revision>7</cp:revision>
  <dcterms:created xsi:type="dcterms:W3CDTF">2019-01-13T22:08:00Z</dcterms:created>
  <dcterms:modified xsi:type="dcterms:W3CDTF">2019-08-14T10:21:00Z</dcterms:modified>
</cp:coreProperties>
</file>